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163" w:rsidRDefault="00000000">
      <w:pPr>
        <w:spacing w:after="0"/>
        <w:jc w:val="right"/>
      </w:pPr>
      <w:r>
        <w:rPr>
          <w:rFonts w:ascii="Lato Black"/>
          <w:b/>
        </w:rPr>
        <w:t>Board Policy Manual</w:t>
      </w:r>
    </w:p>
    <w:p w:rsidR="00456163" w:rsidRDefault="00000000">
      <w:pPr>
        <w:jc w:val="right"/>
      </w:pPr>
      <w:r>
        <w:rPr>
          <w:rFonts w:ascii="Lato Black"/>
          <w:b/>
        </w:rPr>
        <w:t>Yuba Environmental Science Charter Academy</w:t>
      </w:r>
    </w:p>
    <w:tbl>
      <w:tblPr>
        <w:tblW w:w="5000" w:type="pct"/>
        <w:tblInd w:w="10" w:type="dxa"/>
        <w:tblBorders>
          <w:top w:val="single" w:sz="1" w:space="0" w:color="D5D5D5"/>
          <w:bottom w:val="single" w:sz="1" w:space="0" w:color="D5D5D5"/>
        </w:tblBorders>
        <w:shd w:val="clear" w:color="auto" w:fill="EFEFEF"/>
        <w:tblCellMar>
          <w:top w:w="100" w:type="dxa"/>
          <w:left w:w="10" w:type="dxa"/>
          <w:right w:w="10" w:type="dxa"/>
        </w:tblCellMar>
        <w:tblLook w:val="04A0" w:firstRow="1" w:lastRow="0" w:firstColumn="1" w:lastColumn="0" w:noHBand="0" w:noVBand="1"/>
      </w:tblPr>
      <w:tblGrid>
        <w:gridCol w:w="7685"/>
        <w:gridCol w:w="1921"/>
      </w:tblGrid>
      <w:tr w:rsidR="00456163">
        <w:tblPrEx>
          <w:tblCellMar>
            <w:bottom w:w="0" w:type="dxa"/>
          </w:tblCellMar>
        </w:tblPrEx>
        <w:tc>
          <w:tcPr>
            <w:tcW w:w="0" w:type="auto"/>
            <w:shd w:val="clear" w:color="auto" w:fill="EFEFEF"/>
          </w:tcPr>
          <w:p w:rsidR="00456163" w:rsidRDefault="00000000">
            <w:pPr>
              <w:spacing w:after="0"/>
            </w:pPr>
            <w:r>
              <w:rPr>
                <w:rFonts w:ascii="Lato Black"/>
                <w:b/>
              </w:rPr>
              <w:t>Regulation 4119.12: Title IX Sexual Harassment Complaint Procedures</w:t>
            </w:r>
          </w:p>
        </w:tc>
        <w:tc>
          <w:tcPr>
            <w:tcW w:w="1000" w:type="pct"/>
            <w:shd w:val="clear" w:color="auto" w:fill="EFEFEF"/>
          </w:tcPr>
          <w:p w:rsidR="00456163" w:rsidRDefault="00000000">
            <w:r>
              <w:rPr>
                <w:rFonts w:ascii="Lato Black"/>
                <w:b/>
                <w:sz w:val="22"/>
              </w:rPr>
              <w:t xml:space="preserve">Status: </w:t>
            </w:r>
            <w:r>
              <w:rPr>
                <w:rFonts w:ascii="Lato"/>
                <w:sz w:val="22"/>
              </w:rPr>
              <w:t>ADOPTED</w:t>
            </w:r>
          </w:p>
        </w:tc>
      </w:tr>
      <w:tr w:rsidR="00456163">
        <w:tblPrEx>
          <w:tblCellMar>
            <w:bottom w:w="0" w:type="dxa"/>
          </w:tblCellMar>
        </w:tblPrEx>
        <w:tc>
          <w:tcPr>
            <w:tcW w:w="0" w:type="auto"/>
            <w:shd w:val="clear" w:color="auto" w:fill="EFEFEF"/>
          </w:tcPr>
          <w:p w:rsidR="00456163" w:rsidRDefault="00000000">
            <w:r>
              <w:rPr>
                <w:rFonts w:ascii="Lato Black"/>
                <w:b/>
                <w:sz w:val="18"/>
              </w:rPr>
              <w:t xml:space="preserve">Original Adopted Date: </w:t>
            </w:r>
            <w:r>
              <w:rPr>
                <w:rFonts w:ascii="Lato"/>
                <w:sz w:val="18"/>
              </w:rPr>
              <w:t>01/25/2024</w:t>
            </w:r>
            <w:r>
              <w:rPr>
                <w:rFonts w:ascii="Lato Black"/>
                <w:b/>
                <w:sz w:val="18"/>
              </w:rPr>
              <w:t xml:space="preserve"> | Last Revised Date: </w:t>
            </w:r>
            <w:r>
              <w:rPr>
                <w:rFonts w:ascii="Lato"/>
                <w:sz w:val="18"/>
              </w:rPr>
              <w:t>08/28/2025</w:t>
            </w:r>
            <w:r>
              <w:rPr>
                <w:rFonts w:ascii="Lato Black"/>
                <w:b/>
                <w:sz w:val="18"/>
              </w:rPr>
              <w:t xml:space="preserve"> | Last Reviewed Date: </w:t>
            </w:r>
            <w:r>
              <w:rPr>
                <w:rFonts w:ascii="Lato"/>
                <w:sz w:val="18"/>
              </w:rPr>
              <w:t>08/28/2025</w:t>
            </w:r>
          </w:p>
        </w:tc>
        <w:tc>
          <w:tcPr>
            <w:tcW w:w="0" w:type="auto"/>
            <w:shd w:val="clear" w:color="auto" w:fill="EFEFEF"/>
          </w:tcPr>
          <w:p w:rsidR="00456163" w:rsidRDefault="00456163">
            <w:pPr>
              <w:spacing w:after="0"/>
            </w:pPr>
          </w:p>
        </w:tc>
      </w:tr>
    </w:tbl>
    <w:p w:rsidR="00456163" w:rsidRDefault="00456163">
      <w:pPr>
        <w:spacing w:after="30"/>
        <w:jc w:val="right"/>
      </w:pPr>
    </w:p>
    <w:p w:rsidR="00000000" w:rsidRDefault="00000000">
      <w:pPr>
        <w:divId w:val="270481884"/>
        <w:rPr>
          <w:rFonts w:ascii="Lato" w:eastAsia="Times New Roman" w:hAnsi="Lato"/>
          <w:kern w:val="0"/>
          <w:sz w:val="22"/>
          <w:szCs w:val="22"/>
          <w14:ligatures w14:val="none"/>
        </w:rPr>
      </w:pPr>
      <w:r>
        <w:rPr>
          <w:rStyle w:val="Strong"/>
          <w:rFonts w:ascii="Lato" w:eastAsia="Times New Roman" w:hAnsi="Lato"/>
          <w:sz w:val="22"/>
          <w:szCs w:val="22"/>
          <w:u w:val="single"/>
        </w:rPr>
        <w:t>Reporting Sex Discrimination</w:t>
      </w:r>
      <w:r>
        <w:rPr>
          <w:rFonts w:ascii="Lato" w:eastAsia="Times New Roman" w:hAnsi="Lato"/>
          <w:sz w:val="22"/>
          <w:szCs w:val="22"/>
        </w:rPr>
        <w:br/>
      </w:r>
      <w:r>
        <w:rPr>
          <w:rFonts w:ascii="Lato" w:eastAsia="Times New Roman" w:hAnsi="Lato"/>
          <w:sz w:val="22"/>
          <w:szCs w:val="22"/>
        </w:rPr>
        <w:br/>
        <w:t>All employees must promptly notify the Coordinator when the employee has knowledge of or notice of allegations of sex discrimination or sexual harassment occurring within YES CHARTER ACADEMY’s education program or activity.</w:t>
      </w:r>
      <w:r>
        <w:rPr>
          <w:rFonts w:ascii="Lato" w:eastAsia="Times New Roman" w:hAnsi="Lato"/>
          <w:sz w:val="22"/>
          <w:szCs w:val="22"/>
        </w:rPr>
        <w:br/>
      </w:r>
      <w:r>
        <w:rPr>
          <w:rFonts w:ascii="Lato" w:eastAsia="Times New Roman" w:hAnsi="Lato"/>
          <w:sz w:val="22"/>
          <w:szCs w:val="22"/>
        </w:rPr>
        <w:br/>
        <w:t>Students are expected to report all incidents of misconduct prohibited by this Policy. Any student who feels they are a target of such behavior should immediately contact a teacher, counselor, the Principal, Coordinator, a staff person or a family member so that the student can get assistance in resolving the issue in a manner that is consistent with this Policy.</w:t>
      </w:r>
      <w:r>
        <w:rPr>
          <w:rFonts w:ascii="Lato" w:eastAsia="Times New Roman" w:hAnsi="Lato"/>
          <w:sz w:val="22"/>
          <w:szCs w:val="22"/>
        </w:rPr>
        <w:br/>
      </w:r>
      <w:r>
        <w:rPr>
          <w:rFonts w:ascii="Lato" w:eastAsia="Times New Roman" w:hAnsi="Lato"/>
          <w:sz w:val="22"/>
          <w:szCs w:val="22"/>
        </w:rPr>
        <w:br/>
        <w:t>Complaints regarding such misconduct may also be made to the U.S. Department of Education, Office for Civil Rights. Civil law remedies, including, but not limited to, injunctions, restraining orders, or other remedies or orders may also be available to complainants.</w:t>
      </w:r>
      <w:r>
        <w:rPr>
          <w:rFonts w:ascii="Lato" w:eastAsia="Times New Roman" w:hAnsi="Lato"/>
          <w:sz w:val="22"/>
          <w:szCs w:val="22"/>
        </w:rPr>
        <w:br/>
      </w:r>
      <w:r>
        <w:rPr>
          <w:rFonts w:ascii="Lato" w:eastAsia="Times New Roman" w:hAnsi="Lato"/>
          <w:sz w:val="22"/>
          <w:szCs w:val="22"/>
        </w:rPr>
        <w:br/>
        <w:t>While submission of a written report is not required, the reporting party is encouraged to submit a written report to the coordinator. YES CHARTER ACADEMY will promptly and effectively investigate and respond to all oral and written complaints and reports of misconduct prohibited by this Policy. Reports may be made anonymously, but formal disciplinary action cannot be based solely on an anonymous report.</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Privacy</w:t>
      </w:r>
      <w:r>
        <w:rPr>
          <w:rFonts w:ascii="Lato" w:eastAsia="Times New Roman" w:hAnsi="Lato"/>
          <w:sz w:val="22"/>
          <w:szCs w:val="22"/>
        </w:rPr>
        <w:br/>
        <w:t>YES CHARTER ACADEMY acknowledges and respects every individual’s right to privacy. All reports and complaints shall be investigated in a manner that protects the confidentiality of the parties and the integrity of the process to the greatest extent possible. This includes but is not limited to keeping the identity of the reporter and other personally identifiable information confidential, as appropriate, except to the extent necessary to comply with the law, carry out the investigation and/or to resolve the issue, as determined by the coordinator or designee on a case-by-case basis.</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Retaliation</w:t>
      </w:r>
      <w:r>
        <w:rPr>
          <w:rFonts w:ascii="Lato" w:eastAsia="Times New Roman" w:hAnsi="Lato"/>
          <w:sz w:val="22"/>
          <w:szCs w:val="22"/>
        </w:rPr>
        <w:br/>
      </w:r>
      <w:bookmarkStart w:id="0" w:name="_Hlk167739783"/>
      <w:r>
        <w:rPr>
          <w:rFonts w:ascii="Lato" w:eastAsia="Times New Roman" w:hAnsi="Lato"/>
          <w:sz w:val="22"/>
          <w:szCs w:val="22"/>
        </w:rPr>
        <w:t xml:space="preserve">YES CHARTER ACADEMY </w:t>
      </w:r>
      <w:bookmarkEnd w:id="0"/>
      <w:r>
        <w:rPr>
          <w:rFonts w:ascii="Lato" w:eastAsia="Times New Roman" w:hAnsi="Lato"/>
          <w:sz w:val="22"/>
          <w:szCs w:val="22"/>
        </w:rPr>
        <w:t>prohibits any form of retaliation against any individual who files a report or complaint, testifies, assists, participates, or refuses to participate in any investigation or proceeding related to misconduct prohibited by this Policy. Such participation or lack of participation shall not in any way affect the status, grades, or work assignments of the individual.</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Response to Sexual Harassment</w:t>
      </w:r>
      <w:r>
        <w:rPr>
          <w:rFonts w:ascii="Lato" w:eastAsia="Times New Roman" w:hAnsi="Lato"/>
          <w:sz w:val="22"/>
          <w:szCs w:val="22"/>
        </w:rPr>
        <w:br/>
        <w:t>YES CHARTER ACADEMY will respond promptly and in a manner that is not deliberately indifferent when it has actual knowledge, as defined in 34 C.F.R. § 106.30(a), of sexual harassment occurring in its education program or activity against a person in the United States.</w:t>
      </w:r>
      <w:r>
        <w:rPr>
          <w:rFonts w:ascii="Lato" w:eastAsia="Times New Roman" w:hAnsi="Lato"/>
          <w:sz w:val="22"/>
          <w:szCs w:val="22"/>
        </w:rPr>
        <w:br/>
      </w:r>
      <w:r>
        <w:rPr>
          <w:rFonts w:ascii="Lato" w:eastAsia="Times New Roman" w:hAnsi="Lato"/>
          <w:sz w:val="22"/>
          <w:szCs w:val="22"/>
        </w:rPr>
        <w:lastRenderedPageBreak/>
        <w:br/>
        <w:t>YES CHARTER ACADEMY’s response will treat complainants and respondents equitably by offering supportive measures to a complainant, and by following the grievance procedures for formal complaints of sexual harassment that are listed below before imposing any disciplinary sanctions or other actions that are not supportive measures on a respondent for sexual harassment under Title IX.</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u w:val="single"/>
        </w:rPr>
        <w:t>Supportive Measures</w:t>
      </w:r>
      <w:r>
        <w:rPr>
          <w:rFonts w:ascii="Lato" w:eastAsia="Times New Roman" w:hAnsi="Lato"/>
          <w:sz w:val="22"/>
          <w:szCs w:val="22"/>
        </w:rPr>
        <w:br/>
      </w:r>
      <w:r>
        <w:rPr>
          <w:rFonts w:ascii="Lato" w:eastAsia="Times New Roman" w:hAnsi="Lato"/>
          <w:sz w:val="22"/>
          <w:szCs w:val="22"/>
        </w:rPr>
        <w:br/>
        <w:t>Once notified of sexual harassment or allegations of sexual harassment occurring in YES CHARTER ACADEMY’s education program or activity against a person in the United States, the Coordinator will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of sexual harassment.</w:t>
      </w:r>
      <w:r>
        <w:rPr>
          <w:rFonts w:ascii="Lato" w:eastAsia="Times New Roman" w:hAnsi="Lato"/>
          <w:sz w:val="22"/>
          <w:szCs w:val="22"/>
        </w:rPr>
        <w:br/>
      </w:r>
      <w:r>
        <w:rPr>
          <w:rFonts w:ascii="Lato" w:eastAsia="Times New Roman" w:hAnsi="Lato"/>
          <w:sz w:val="22"/>
          <w:szCs w:val="22"/>
        </w:rPr>
        <w:br/>
        <w:t>Supportive measures may include but are not limited to: counseling; extensions of deadlines or other course-related adjustments; modifications of work or class schedules; mutual restrictions on contact between the parties; changes in work or on-campus housing locations; leaves of absence; increased security and monitoring of certain areas of the campus; and other similar measures.</w:t>
      </w:r>
      <w:r>
        <w:rPr>
          <w:rFonts w:ascii="Lato" w:eastAsia="Times New Roman" w:hAnsi="Lato"/>
          <w:sz w:val="22"/>
          <w:szCs w:val="22"/>
        </w:rPr>
        <w:br/>
      </w:r>
      <w:r>
        <w:rPr>
          <w:rFonts w:ascii="Lato" w:eastAsia="Times New Roman" w:hAnsi="Lato"/>
          <w:sz w:val="22"/>
          <w:szCs w:val="22"/>
        </w:rPr>
        <w:br/>
        <w:t>Supportive measures will not unreasonably burden either party or be imposed for punitive or disciplinary reasons. YES CHARTER ACADEMY will maintain as confidential any supportive measures provided to the complainant or respondent, to the extent that maintaining such confidentiality would not impair YES CHARTER ACADEMY’s ability to provide the supportive measures. The Coordinator is responsible for coordinating the effective implementation of supportive measures.</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u w:val="single"/>
        </w:rPr>
        <w:t xml:space="preserve">Grievance Procedures </w:t>
      </w:r>
      <w:r>
        <w:rPr>
          <w:rFonts w:ascii="Lato" w:eastAsia="Times New Roman" w:hAnsi="Lato"/>
          <w:sz w:val="22"/>
          <w:szCs w:val="22"/>
        </w:rPr>
        <w:br/>
      </w:r>
      <w:r>
        <w:rPr>
          <w:rFonts w:ascii="Lato" w:eastAsia="Times New Roman" w:hAnsi="Lato"/>
          <w:sz w:val="22"/>
          <w:szCs w:val="22"/>
        </w:rPr>
        <w:br/>
      </w:r>
      <w:bookmarkStart w:id="1" w:name="_Hlk76026675"/>
      <w:r>
        <w:rPr>
          <w:rStyle w:val="Strong"/>
          <w:rFonts w:ascii="Lato" w:eastAsia="Times New Roman" w:hAnsi="Lato"/>
          <w:sz w:val="22"/>
          <w:szCs w:val="22"/>
        </w:rPr>
        <w:t>Scope and General Requirements</w:t>
      </w:r>
      <w:bookmarkEnd w:id="1"/>
      <w:r>
        <w:rPr>
          <w:rFonts w:ascii="Lato" w:eastAsia="Times New Roman" w:hAnsi="Lato"/>
          <w:sz w:val="22"/>
          <w:szCs w:val="22"/>
        </w:rPr>
        <w:br/>
      </w:r>
      <w:r>
        <w:rPr>
          <w:rFonts w:ascii="Lato" w:eastAsia="Times New Roman" w:hAnsi="Lato"/>
          <w:sz w:val="22"/>
          <w:szCs w:val="22"/>
        </w:rPr>
        <w:br/>
        <w:t>YES CHARTER ACADEMY has adopted and published grievance procedures that provide for the prompt and equitable resolution of student and employee complaints alleging any action that would be prohibited under Title IX and a grievance process that complies with 34 C.F.R. § 106.45 for formal complaints of sexual harassment.</w:t>
      </w:r>
      <w:r>
        <w:rPr>
          <w:rFonts w:ascii="Lato" w:eastAsia="Times New Roman" w:hAnsi="Lato"/>
          <w:sz w:val="22"/>
          <w:szCs w:val="22"/>
        </w:rPr>
        <w:br/>
      </w:r>
      <w:r>
        <w:rPr>
          <w:rFonts w:ascii="Lato" w:eastAsia="Times New Roman" w:hAnsi="Lato"/>
          <w:sz w:val="22"/>
          <w:szCs w:val="22"/>
        </w:rPr>
        <w:br/>
        <w:t>Complaints of misconduct prohibited by this Policy that do not constitute a formal complaint of sexual harassment will be addressed in accordance with YES CHARTER ACADEMY’s Uniform Complaint Procedures, its employment discrimination complaint procedures, or the grievance procedures set forth in its Harassment, Intimidation, Discrimination, and Bullying Policy, as applicable. The following grievance procedures will apply to formal complaints of sexual harassment.</w:t>
      </w:r>
      <w:r>
        <w:rPr>
          <w:rFonts w:ascii="Lato" w:eastAsia="Times New Roman" w:hAnsi="Lato"/>
          <w:sz w:val="22"/>
          <w:szCs w:val="22"/>
        </w:rPr>
        <w:br/>
      </w:r>
      <w:r>
        <w:rPr>
          <w:rFonts w:ascii="Lato" w:eastAsia="Times New Roman" w:hAnsi="Lato"/>
          <w:sz w:val="22"/>
          <w:szCs w:val="22"/>
        </w:rPr>
        <w:br/>
        <w:t>Upon receipt of a formal complaint of sexual harassment, the Coordinator or designee will promptly initiate these grievance procedures, or the informal resolution process if available, appropriate, and requested by all parties.</w:t>
      </w:r>
      <w:r>
        <w:rPr>
          <w:rFonts w:ascii="Lato" w:eastAsia="Times New Roman" w:hAnsi="Lato"/>
          <w:sz w:val="22"/>
          <w:szCs w:val="22"/>
        </w:rPr>
        <w:br/>
      </w:r>
      <w:r>
        <w:rPr>
          <w:rFonts w:ascii="Lato" w:eastAsia="Times New Roman" w:hAnsi="Lato"/>
          <w:sz w:val="22"/>
          <w:szCs w:val="22"/>
        </w:rPr>
        <w:br/>
      </w:r>
      <w:r>
        <w:rPr>
          <w:rFonts w:ascii="Lato" w:eastAsia="Times New Roman" w:hAnsi="Lato"/>
          <w:sz w:val="22"/>
          <w:szCs w:val="22"/>
        </w:rPr>
        <w:lastRenderedPageBreak/>
        <w:t>YES CHARTER ACADEMY requires that any Title IX Coordinator, investigator, decisionmaker, and any person designated by YES CHARTER ACADEMY to facilitate an informal resolution process not have a conflict of interest or bias for or against complainants or respondents generally or an individual complainant or respondent.</w:t>
      </w:r>
      <w:r>
        <w:rPr>
          <w:rFonts w:ascii="Lato" w:eastAsia="Times New Roman" w:hAnsi="Lato"/>
          <w:sz w:val="22"/>
          <w:szCs w:val="22"/>
        </w:rPr>
        <w:br/>
      </w:r>
      <w:r>
        <w:rPr>
          <w:rFonts w:ascii="Lato" w:eastAsia="Times New Roman" w:hAnsi="Lato"/>
          <w:sz w:val="22"/>
          <w:szCs w:val="22"/>
        </w:rPr>
        <w:br/>
        <w:t>YES CHARTER ACADEMY will treat complainants and respondents equitably. YES CHARTER ACADEMY presumes that the respondent is not responsible for the alleged sexual harassment until a determination is made at the conclusion of its grievance procedures.</w:t>
      </w:r>
      <w:r>
        <w:rPr>
          <w:rFonts w:ascii="Lato" w:eastAsia="Times New Roman" w:hAnsi="Lato"/>
          <w:sz w:val="22"/>
          <w:szCs w:val="22"/>
        </w:rPr>
        <w:br/>
      </w:r>
      <w:r>
        <w:rPr>
          <w:rFonts w:ascii="Lato" w:eastAsia="Times New Roman" w:hAnsi="Lato"/>
          <w:sz w:val="22"/>
          <w:szCs w:val="22"/>
        </w:rPr>
        <w:br/>
        <w:t>YES CHARTER ACADEMY may consolidate formal complaints of sexual harassment against more than one respondent, or by more than one complainant against one or more respondents, or by one party against another party, where the allegations of sexual harassment arise out of the same facts or circumstances.</w:t>
      </w:r>
      <w:r>
        <w:rPr>
          <w:rFonts w:ascii="Lato" w:eastAsia="Times New Roman" w:hAnsi="Lato"/>
          <w:sz w:val="22"/>
          <w:szCs w:val="22"/>
        </w:rPr>
        <w:br/>
      </w:r>
      <w:r>
        <w:rPr>
          <w:rFonts w:ascii="Lato" w:eastAsia="Times New Roman" w:hAnsi="Lato"/>
          <w:sz w:val="22"/>
          <w:szCs w:val="22"/>
        </w:rPr>
        <w:br/>
        <w:t>YES CHARTER ACADEMY allows for the temporary delay of the grievance process or limited extension of timeframes on a case-by-case basis for good cause. Requests for extensions must be submitted to the Coordinator in writing at least one (1) business day before the expiration of the timeframe. If the grievance process is temporarily delayed or a timeframe is temporarily extended by YES CHARTER ACADEMY, the Coordinator or designee will notify the parties of the reason for the delay or extension in writing.</w:t>
      </w:r>
      <w:r>
        <w:rPr>
          <w:rFonts w:ascii="Lato" w:eastAsia="Times New Roman" w:hAnsi="Lato"/>
          <w:sz w:val="22"/>
          <w:szCs w:val="22"/>
        </w:rPr>
        <w:br/>
        <w:t>YES CHARTER ACADEMY will objectively evaluate all evidence that is relevant and not otherwise impermissible, including both inculpatory and exculpatory evidence.</w:t>
      </w:r>
      <w:bookmarkStart w:id="2" w:name="_ftnref1"/>
      <w:r>
        <w:rPr>
          <w:rFonts w:ascii="Lato" w:eastAsia="Times New Roman" w:hAnsi="Lato"/>
          <w:sz w:val="22"/>
          <w:szCs w:val="22"/>
        </w:rPr>
        <w:fldChar w:fldCharType="begin"/>
      </w:r>
      <w:r>
        <w:rPr>
          <w:rFonts w:ascii="Lato" w:eastAsia="Times New Roman" w:hAnsi="Lato"/>
          <w:sz w:val="22"/>
          <w:szCs w:val="22"/>
        </w:rPr>
        <w:instrText>HYPERLINK "" \l "_ftn1" \o ""</w:instrText>
      </w:r>
      <w:r>
        <w:rPr>
          <w:rFonts w:ascii="Lato" w:eastAsia="Times New Roman" w:hAnsi="Lato"/>
          <w:sz w:val="22"/>
          <w:szCs w:val="22"/>
        </w:rPr>
      </w:r>
      <w:r>
        <w:rPr>
          <w:rFonts w:ascii="Lato" w:eastAsia="Times New Roman" w:hAnsi="Lato"/>
          <w:sz w:val="22"/>
          <w:szCs w:val="22"/>
        </w:rPr>
        <w:fldChar w:fldCharType="separate"/>
      </w:r>
      <w:r>
        <w:rPr>
          <w:rStyle w:val="Hyperlink"/>
          <w:rFonts w:ascii="Lato" w:eastAsia="Times New Roman" w:hAnsi="Lato"/>
          <w:sz w:val="22"/>
          <w:szCs w:val="22"/>
          <w:vertAlign w:val="superscript"/>
        </w:rPr>
        <w:t>[1]</w:t>
      </w:r>
      <w:r>
        <w:rPr>
          <w:rFonts w:ascii="Lato" w:eastAsia="Times New Roman" w:hAnsi="Lato"/>
          <w:sz w:val="22"/>
          <w:szCs w:val="22"/>
        </w:rPr>
        <w:fldChar w:fldCharType="end"/>
      </w:r>
      <w:bookmarkEnd w:id="2"/>
      <w:r>
        <w:rPr>
          <w:rFonts w:ascii="Lato" w:eastAsia="Times New Roman" w:hAnsi="Lato"/>
          <w:sz w:val="22"/>
          <w:szCs w:val="22"/>
        </w:rPr>
        <w:t xml:space="preserve"> Credibility determinations will not be based on a person’s status as a complainant, respondent, or witness.</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Dismissal</w:t>
      </w:r>
      <w:r>
        <w:rPr>
          <w:rFonts w:ascii="Lato" w:eastAsia="Times New Roman" w:hAnsi="Lato"/>
          <w:sz w:val="22"/>
          <w:szCs w:val="22"/>
        </w:rPr>
        <w:br/>
        <w:t>YES CHARTER ACADEMY must dismiss a formal complaint of sexual harassment for purposes of sexual harassment under Title IX if the conduct alleged:</w:t>
      </w:r>
      <w:r>
        <w:rPr>
          <w:rFonts w:ascii="Lato" w:eastAsia="Times New Roman" w:hAnsi="Lato"/>
          <w:sz w:val="22"/>
          <w:szCs w:val="22"/>
        </w:rPr>
        <w:br/>
        <w:t xml:space="preserve">  </w:t>
      </w:r>
    </w:p>
    <w:p w:rsidR="00000000" w:rsidRDefault="00000000">
      <w:pPr>
        <w:numPr>
          <w:ilvl w:val="0"/>
          <w:numId w:val="1"/>
        </w:numPr>
        <w:spacing w:after="3" w:line="240" w:lineRule="auto"/>
        <w:ind w:left="730"/>
        <w:divId w:val="270481884"/>
        <w:rPr>
          <w:rFonts w:ascii="Lato" w:eastAsia="Times New Roman" w:hAnsi="Lato"/>
          <w:sz w:val="22"/>
          <w:szCs w:val="22"/>
        </w:rPr>
      </w:pPr>
      <w:r>
        <w:rPr>
          <w:rFonts w:ascii="Lato" w:eastAsia="Times New Roman" w:hAnsi="Lato"/>
          <w:sz w:val="22"/>
          <w:szCs w:val="22"/>
        </w:rPr>
        <w:t>Would not constitute sexual harassment under Title IX even if proved;</w:t>
      </w:r>
    </w:p>
    <w:p w:rsidR="00000000" w:rsidRDefault="00000000">
      <w:pPr>
        <w:numPr>
          <w:ilvl w:val="0"/>
          <w:numId w:val="1"/>
        </w:numPr>
        <w:spacing w:after="3" w:line="240" w:lineRule="auto"/>
        <w:ind w:left="730"/>
        <w:divId w:val="270481884"/>
        <w:rPr>
          <w:rFonts w:ascii="Lato" w:eastAsia="Times New Roman" w:hAnsi="Lato"/>
          <w:sz w:val="22"/>
          <w:szCs w:val="22"/>
        </w:rPr>
      </w:pPr>
      <w:r>
        <w:rPr>
          <w:rFonts w:ascii="Lato" w:eastAsia="Times New Roman" w:hAnsi="Lato"/>
          <w:sz w:val="22"/>
          <w:szCs w:val="22"/>
        </w:rPr>
        <w:t>Did not occur in YES CHARTER ACADEMY’s education program or activity; or</w:t>
      </w:r>
    </w:p>
    <w:p w:rsidR="00000000" w:rsidRDefault="00000000">
      <w:pPr>
        <w:numPr>
          <w:ilvl w:val="0"/>
          <w:numId w:val="1"/>
        </w:numPr>
        <w:spacing w:after="3" w:line="240" w:lineRule="auto"/>
        <w:ind w:left="730"/>
        <w:divId w:val="270481884"/>
        <w:rPr>
          <w:rFonts w:ascii="Lato" w:eastAsia="Times New Roman" w:hAnsi="Lato"/>
          <w:sz w:val="22"/>
          <w:szCs w:val="22"/>
        </w:rPr>
      </w:pPr>
      <w:r>
        <w:rPr>
          <w:rFonts w:ascii="Lato" w:eastAsia="Times New Roman" w:hAnsi="Lato"/>
          <w:sz w:val="22"/>
          <w:szCs w:val="22"/>
        </w:rPr>
        <w:t>Did not occur against a person in the United States.</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 xml:space="preserve">YES CHARTER ACADEMY may dismiss a formal complaint of sexual harassment or any of the allegations therein if: </w:t>
      </w:r>
    </w:p>
    <w:p w:rsidR="00000000" w:rsidRDefault="00000000">
      <w:pPr>
        <w:numPr>
          <w:ilvl w:val="0"/>
          <w:numId w:val="2"/>
        </w:numPr>
        <w:spacing w:before="100" w:beforeAutospacing="1" w:after="100" w:afterAutospacing="1" w:line="240" w:lineRule="auto"/>
        <w:ind w:left="1440"/>
        <w:divId w:val="270481884"/>
        <w:rPr>
          <w:rFonts w:ascii="Lato" w:eastAsia="Times New Roman" w:hAnsi="Lato"/>
          <w:sz w:val="22"/>
          <w:szCs w:val="22"/>
        </w:rPr>
      </w:pPr>
    </w:p>
    <w:p w:rsidR="00000000" w:rsidRDefault="00000000">
      <w:pPr>
        <w:numPr>
          <w:ilvl w:val="1"/>
          <w:numId w:val="2"/>
        </w:numPr>
        <w:spacing w:before="100" w:beforeAutospacing="1" w:after="100" w:afterAutospacing="1" w:line="240" w:lineRule="auto"/>
        <w:ind w:left="2160"/>
        <w:divId w:val="270481884"/>
        <w:rPr>
          <w:rFonts w:ascii="Lato" w:eastAsia="Times New Roman" w:hAnsi="Lato"/>
          <w:sz w:val="22"/>
          <w:szCs w:val="22"/>
        </w:rPr>
      </w:pPr>
    </w:p>
    <w:p w:rsidR="00000000" w:rsidRDefault="00000000">
      <w:pPr>
        <w:numPr>
          <w:ilvl w:val="2"/>
          <w:numId w:val="2"/>
        </w:numPr>
        <w:spacing w:after="3" w:line="240" w:lineRule="auto"/>
        <w:ind w:left="2170"/>
        <w:divId w:val="270481884"/>
        <w:rPr>
          <w:rFonts w:ascii="Lato" w:eastAsia="Times New Roman" w:hAnsi="Lato"/>
          <w:sz w:val="22"/>
          <w:szCs w:val="22"/>
        </w:rPr>
      </w:pPr>
      <w:r>
        <w:rPr>
          <w:rFonts w:ascii="Lato" w:eastAsia="Times New Roman" w:hAnsi="Lato"/>
          <w:sz w:val="22"/>
          <w:szCs w:val="22"/>
        </w:rPr>
        <w:t>The respondent is no longer enrolled or employed by YES CHARTER ACADEMY;</w:t>
      </w:r>
    </w:p>
    <w:p w:rsidR="00000000" w:rsidRDefault="00000000">
      <w:pPr>
        <w:numPr>
          <w:ilvl w:val="2"/>
          <w:numId w:val="2"/>
        </w:numPr>
        <w:spacing w:after="3" w:line="240" w:lineRule="auto"/>
        <w:ind w:left="2170"/>
        <w:divId w:val="270481884"/>
        <w:rPr>
          <w:rFonts w:ascii="Lato" w:eastAsia="Times New Roman" w:hAnsi="Lato"/>
          <w:sz w:val="22"/>
          <w:szCs w:val="22"/>
        </w:rPr>
      </w:pPr>
      <w:r>
        <w:rPr>
          <w:rFonts w:ascii="Lato" w:eastAsia="Times New Roman" w:hAnsi="Lato"/>
          <w:sz w:val="22"/>
          <w:szCs w:val="22"/>
        </w:rPr>
        <w:t>A complainant notifies the Coordinator in writing that the complainant would like to withdraw the complaint or any allegations therein; or</w:t>
      </w:r>
    </w:p>
    <w:p w:rsidR="00000000" w:rsidRDefault="00000000">
      <w:pPr>
        <w:numPr>
          <w:ilvl w:val="2"/>
          <w:numId w:val="2"/>
        </w:numPr>
        <w:spacing w:after="3" w:line="240" w:lineRule="auto"/>
        <w:ind w:left="2170"/>
        <w:divId w:val="270481884"/>
        <w:rPr>
          <w:rFonts w:ascii="Lato" w:eastAsia="Times New Roman" w:hAnsi="Lato"/>
          <w:sz w:val="22"/>
          <w:szCs w:val="22"/>
        </w:rPr>
      </w:pPr>
      <w:r>
        <w:rPr>
          <w:rFonts w:ascii="Lato" w:eastAsia="Times New Roman" w:hAnsi="Lato"/>
          <w:sz w:val="22"/>
          <w:szCs w:val="22"/>
        </w:rPr>
        <w:t>Specific circumstances prevent YES CHARTER ACADEMY from gathering sufficient evidence to reach a determination as to the complaint or allegations therein.</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Upon dismissal, the Coordinator or designee will promptly send written notice of the dismissal and reason(s) therefor simultaneously to the parties. Dismissal under Title IX does not preclude action under another applicable YES CHARTER ACADEMY policy.</w:t>
      </w:r>
      <w:r>
        <w:rPr>
          <w:rFonts w:ascii="Lato" w:eastAsia="Times New Roman" w:hAnsi="Lato"/>
          <w:sz w:val="22"/>
          <w:szCs w:val="22"/>
        </w:rPr>
        <w:br/>
      </w:r>
      <w:r>
        <w:rPr>
          <w:rFonts w:ascii="Lato" w:eastAsia="Times New Roman" w:hAnsi="Lato"/>
          <w:sz w:val="22"/>
          <w:szCs w:val="22"/>
        </w:rPr>
        <w:br/>
      </w:r>
      <w:bookmarkStart w:id="3" w:name="_Hlk76027748"/>
      <w:r>
        <w:rPr>
          <w:rStyle w:val="Strong"/>
          <w:rFonts w:ascii="Lato" w:eastAsia="Times New Roman" w:hAnsi="Lato"/>
          <w:sz w:val="22"/>
          <w:szCs w:val="22"/>
        </w:rPr>
        <w:lastRenderedPageBreak/>
        <w:t>Notice of the Allegations</w:t>
      </w:r>
      <w:bookmarkEnd w:id="3"/>
      <w:r>
        <w:rPr>
          <w:rFonts w:ascii="Lato" w:eastAsia="Times New Roman" w:hAnsi="Lato"/>
          <w:sz w:val="22"/>
          <w:szCs w:val="22"/>
        </w:rPr>
        <w:br/>
        <w:t xml:space="preserve">Upon receipt of a formal complaint of sexual harassment, the Coordinator or designee will provide written notice of the allegations to the parties whose identities are known. The notice will include: </w:t>
      </w:r>
    </w:p>
    <w:p w:rsidR="00000000" w:rsidRDefault="00000000">
      <w:pPr>
        <w:numPr>
          <w:ilvl w:val="0"/>
          <w:numId w:val="3"/>
        </w:numPr>
        <w:spacing w:after="3" w:line="240" w:lineRule="auto"/>
        <w:ind w:left="730"/>
        <w:divId w:val="270481884"/>
        <w:rPr>
          <w:rFonts w:ascii="Lato" w:eastAsia="Times New Roman" w:hAnsi="Lato"/>
          <w:sz w:val="22"/>
          <w:szCs w:val="22"/>
        </w:rPr>
      </w:pPr>
      <w:r>
        <w:rPr>
          <w:rFonts w:ascii="Lato" w:eastAsia="Times New Roman" w:hAnsi="Lato"/>
          <w:sz w:val="22"/>
          <w:szCs w:val="22"/>
        </w:rPr>
        <w:t>YES CHARTER ACADEMY’s grievance procedures and any informal resolution process;</w:t>
      </w:r>
    </w:p>
    <w:p w:rsidR="00000000" w:rsidRDefault="00000000">
      <w:pPr>
        <w:numPr>
          <w:ilvl w:val="0"/>
          <w:numId w:val="3"/>
        </w:numPr>
        <w:spacing w:after="3" w:line="240" w:lineRule="auto"/>
        <w:ind w:left="730"/>
        <w:divId w:val="270481884"/>
        <w:rPr>
          <w:rFonts w:ascii="Lato" w:eastAsia="Times New Roman" w:hAnsi="Lato"/>
          <w:sz w:val="22"/>
          <w:szCs w:val="22"/>
        </w:rPr>
      </w:pPr>
      <w:r>
        <w:rPr>
          <w:rFonts w:ascii="Lato" w:eastAsia="Times New Roman" w:hAnsi="Lato"/>
          <w:sz w:val="22"/>
          <w:szCs w:val="22"/>
        </w:rPr>
        <w:t>The allegations of sexual harassment including sufficient details known at the time and with sufficient time to prepare a response before any initial interview. Sufficient details includes the identities of the parties involved in the incident(s), if known, the conduct allegedly constituting sexual harassment under Title IX, and the date(s) and location(s) of the alleged incident(s), if known;</w:t>
      </w:r>
    </w:p>
    <w:p w:rsidR="00000000" w:rsidRDefault="00000000">
      <w:pPr>
        <w:numPr>
          <w:ilvl w:val="0"/>
          <w:numId w:val="3"/>
        </w:numPr>
        <w:spacing w:after="3" w:line="240" w:lineRule="auto"/>
        <w:ind w:left="730"/>
        <w:divId w:val="270481884"/>
        <w:rPr>
          <w:rFonts w:ascii="Lato" w:eastAsia="Times New Roman" w:hAnsi="Lato"/>
          <w:sz w:val="22"/>
          <w:szCs w:val="22"/>
        </w:rPr>
      </w:pPr>
      <w:r>
        <w:rPr>
          <w:rFonts w:ascii="Lato" w:eastAsia="Times New Roman" w:hAnsi="Lato"/>
          <w:sz w:val="22"/>
          <w:szCs w:val="22"/>
        </w:rPr>
        <w:t>A statement that the respondent is presumed not responsible for the alleged conduct and a determination regarding responsibility is made at the conclusion of the grievance process;</w:t>
      </w:r>
    </w:p>
    <w:p w:rsidR="00000000" w:rsidRDefault="00000000">
      <w:pPr>
        <w:numPr>
          <w:ilvl w:val="0"/>
          <w:numId w:val="3"/>
        </w:numPr>
        <w:spacing w:after="3" w:line="240" w:lineRule="auto"/>
        <w:ind w:left="730"/>
        <w:divId w:val="270481884"/>
        <w:rPr>
          <w:rFonts w:ascii="Lato" w:eastAsia="Times New Roman" w:hAnsi="Lato"/>
          <w:sz w:val="22"/>
          <w:szCs w:val="22"/>
        </w:rPr>
      </w:pPr>
      <w:r>
        <w:rPr>
          <w:rFonts w:ascii="Lato" w:eastAsia="Times New Roman" w:hAnsi="Lato"/>
          <w:sz w:val="22"/>
          <w:szCs w:val="22"/>
        </w:rPr>
        <w:t>A statement that the parties may have an advisor of their choice, who may be, but is not required to be, an attorney, and may inspect and review evidence; and</w:t>
      </w:r>
    </w:p>
    <w:p w:rsidR="00000000" w:rsidRDefault="00000000">
      <w:pPr>
        <w:numPr>
          <w:ilvl w:val="0"/>
          <w:numId w:val="3"/>
        </w:numPr>
        <w:spacing w:after="3" w:line="240" w:lineRule="auto"/>
        <w:ind w:left="730"/>
        <w:divId w:val="270481884"/>
        <w:rPr>
          <w:rFonts w:ascii="Lato" w:eastAsia="Times New Roman" w:hAnsi="Lato"/>
          <w:sz w:val="22"/>
          <w:szCs w:val="22"/>
        </w:rPr>
      </w:pPr>
      <w:r>
        <w:rPr>
          <w:rFonts w:ascii="Lato" w:eastAsia="Times New Roman" w:hAnsi="Lato"/>
          <w:sz w:val="22"/>
          <w:szCs w:val="22"/>
        </w:rPr>
        <w:t>A statement that YES CHARTER ACADEMY prohibits knowingly making false statements or knowingly submitting false information during the grievance process.</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r>
      <w:r>
        <w:rPr>
          <w:rStyle w:val="Strong"/>
          <w:rFonts w:ascii="Lato" w:eastAsia="Times New Roman" w:hAnsi="Lato"/>
          <w:sz w:val="22"/>
          <w:szCs w:val="22"/>
        </w:rPr>
        <w:t>Emergency Removal</w:t>
      </w:r>
      <w:r>
        <w:rPr>
          <w:rFonts w:ascii="Lato" w:eastAsia="Times New Roman" w:hAnsi="Lato"/>
          <w:sz w:val="22"/>
          <w:szCs w:val="22"/>
        </w:rPr>
        <w:br/>
        <w:t>YES CHARTER ACADEMY may place a non-student employee respondent on administrative leave during the pendency of the grievance procedures in accordance with YES CHARTER ACADEMY’s policies.</w:t>
      </w:r>
      <w:r>
        <w:rPr>
          <w:rFonts w:ascii="Lato" w:eastAsia="Times New Roman" w:hAnsi="Lato"/>
          <w:sz w:val="22"/>
          <w:szCs w:val="22"/>
        </w:rPr>
        <w:br/>
      </w:r>
      <w:r>
        <w:rPr>
          <w:rFonts w:ascii="Lato" w:eastAsia="Times New Roman" w:hAnsi="Lato"/>
          <w:sz w:val="22"/>
          <w:szCs w:val="22"/>
        </w:rPr>
        <w:br/>
        <w:t>YES CHARTER ACADEMY may remove a respondent from YES CHARTER ACADEMY’s education program or activity on an emergency basis, in accordance with YES CHARTER ACADEMY’s policies, provided that YES CHARTER ACADEMY undertakes an individualized safety and risk analysis, determines that an immediate threat to the physical health or safety of any person arising from the allegations of sexual harassment justifies removal, and provides the respondent with notice and an opportunity to challenge the decision immediately following the removal.</w:t>
      </w:r>
      <w:r>
        <w:rPr>
          <w:rFonts w:ascii="Lato" w:eastAsia="Times New Roman" w:hAnsi="Lato"/>
          <w:sz w:val="22"/>
          <w:szCs w:val="22"/>
        </w:rPr>
        <w:br/>
      </w:r>
      <w:r>
        <w:rPr>
          <w:rFonts w:ascii="Lato" w:eastAsia="Times New Roman" w:hAnsi="Lato"/>
          <w:sz w:val="22"/>
          <w:szCs w:val="22"/>
        </w:rPr>
        <w:br/>
        <w:t>This provision must not be construed to modify any rights under the Individuals with Disabilities Education Act, Section 504 of the Rehabilitation Act of 1973, or the Americans with Disabilities Act.</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Informal Resolution</w:t>
      </w:r>
      <w:r>
        <w:rPr>
          <w:rFonts w:ascii="Lato" w:eastAsia="Times New Roman" w:hAnsi="Lato"/>
          <w:sz w:val="22"/>
          <w:szCs w:val="22"/>
        </w:rPr>
        <w:br/>
        <w:t>At any time after a formal complaint of sexual harassment is filed and prior to determining whether sexual harassment occurred under YES CHARTER ACADEMY’s Title IX grievance procedures, YES CHARTER ACADEMY may offer an informal resolution process to the parties. YES CHARTER ACADEMY will not offer or facilitate informal resolution to resolve allegations that an employee sexually harassed a student, or when such a process would conflict with Federal, State, or local law. Parties will not be required or pressured to agree to participate in the informal resolution process. </w:t>
      </w:r>
      <w:r>
        <w:rPr>
          <w:rFonts w:ascii="Lato" w:eastAsia="Times New Roman" w:hAnsi="Lato"/>
          <w:sz w:val="22"/>
          <w:szCs w:val="22"/>
        </w:rPr>
        <w:br/>
      </w:r>
      <w:r>
        <w:rPr>
          <w:rFonts w:ascii="Lato" w:eastAsia="Times New Roman" w:hAnsi="Lato"/>
          <w:sz w:val="22"/>
          <w:szCs w:val="22"/>
        </w:rPr>
        <w:br/>
        <w:t xml:space="preserve">Before initiation of the informal resolution process, YES CHARTER ACADEMY will obtain the parties’ voluntary, written consent to participate in the informal resolution and provide the parties with a written notice that explains: </w:t>
      </w:r>
    </w:p>
    <w:p w:rsidR="00000000" w:rsidRDefault="00000000">
      <w:pPr>
        <w:numPr>
          <w:ilvl w:val="0"/>
          <w:numId w:val="4"/>
        </w:numPr>
        <w:spacing w:after="3" w:line="240" w:lineRule="auto"/>
        <w:ind w:left="730"/>
        <w:divId w:val="270481884"/>
        <w:rPr>
          <w:rFonts w:ascii="Lato" w:eastAsia="Times New Roman" w:hAnsi="Lato"/>
          <w:sz w:val="22"/>
          <w:szCs w:val="22"/>
        </w:rPr>
      </w:pPr>
      <w:r>
        <w:rPr>
          <w:rFonts w:ascii="Lato" w:eastAsia="Times New Roman" w:hAnsi="Lato"/>
          <w:sz w:val="22"/>
          <w:szCs w:val="22"/>
        </w:rPr>
        <w:t>The allegations;</w:t>
      </w:r>
    </w:p>
    <w:p w:rsidR="00000000" w:rsidRDefault="00000000">
      <w:pPr>
        <w:numPr>
          <w:ilvl w:val="0"/>
          <w:numId w:val="4"/>
        </w:numPr>
        <w:spacing w:after="3" w:line="240" w:lineRule="auto"/>
        <w:ind w:left="730"/>
        <w:divId w:val="270481884"/>
        <w:rPr>
          <w:rFonts w:ascii="Lato" w:eastAsia="Times New Roman" w:hAnsi="Lato"/>
          <w:sz w:val="22"/>
          <w:szCs w:val="22"/>
        </w:rPr>
      </w:pPr>
      <w:r>
        <w:rPr>
          <w:rFonts w:ascii="Lato" w:eastAsia="Times New Roman" w:hAnsi="Lato"/>
          <w:sz w:val="22"/>
          <w:szCs w:val="22"/>
        </w:rPr>
        <w:t>The requirements of the informal resolution process including the circumstances under which it precludes the parties from resuming a formal complaint of sexual harassment arising from the same allegations;</w:t>
      </w:r>
    </w:p>
    <w:p w:rsidR="00000000" w:rsidRDefault="00000000">
      <w:pPr>
        <w:numPr>
          <w:ilvl w:val="0"/>
          <w:numId w:val="4"/>
        </w:numPr>
        <w:spacing w:after="3" w:line="240" w:lineRule="auto"/>
        <w:ind w:left="730"/>
        <w:divId w:val="270481884"/>
        <w:rPr>
          <w:rFonts w:ascii="Lato" w:eastAsia="Times New Roman" w:hAnsi="Lato"/>
          <w:sz w:val="22"/>
          <w:szCs w:val="22"/>
        </w:rPr>
      </w:pPr>
      <w:r>
        <w:rPr>
          <w:rFonts w:ascii="Lato" w:eastAsia="Times New Roman" w:hAnsi="Lato"/>
          <w:sz w:val="22"/>
          <w:szCs w:val="22"/>
        </w:rPr>
        <w:t>The right to withdraw and initiate or resume the grievance procedures at any time prior to agreeing to a resolution; and</w:t>
      </w:r>
    </w:p>
    <w:p w:rsidR="00000000" w:rsidRDefault="00000000">
      <w:pPr>
        <w:numPr>
          <w:ilvl w:val="0"/>
          <w:numId w:val="4"/>
        </w:numPr>
        <w:spacing w:after="3" w:line="240" w:lineRule="auto"/>
        <w:ind w:left="730"/>
        <w:divId w:val="270481884"/>
        <w:rPr>
          <w:rFonts w:ascii="Lato" w:eastAsia="Times New Roman" w:hAnsi="Lato"/>
          <w:sz w:val="22"/>
          <w:szCs w:val="22"/>
        </w:rPr>
      </w:pPr>
      <w:r>
        <w:rPr>
          <w:rFonts w:ascii="Lato" w:eastAsia="Times New Roman" w:hAnsi="Lato"/>
          <w:sz w:val="22"/>
          <w:szCs w:val="22"/>
        </w:rPr>
        <w:t>Any consequences resulting from participating in the informal resolution process, including the records that will be maintained or could be shared.</w:t>
      </w:r>
    </w:p>
    <w:p w:rsidR="00000000" w:rsidRDefault="00000000">
      <w:pPr>
        <w:spacing w:after="0"/>
        <w:divId w:val="270481884"/>
        <w:rPr>
          <w:rFonts w:ascii="Lato" w:eastAsia="Times New Roman" w:hAnsi="Lato"/>
          <w:sz w:val="22"/>
          <w:szCs w:val="22"/>
        </w:rPr>
      </w:pPr>
      <w:r>
        <w:rPr>
          <w:rFonts w:ascii="Lato" w:eastAsia="Times New Roman" w:hAnsi="Lato"/>
          <w:sz w:val="22"/>
          <w:szCs w:val="22"/>
        </w:rPr>
        <w:lastRenderedPageBreak/>
        <w:br/>
      </w:r>
      <w:r>
        <w:rPr>
          <w:rStyle w:val="Strong"/>
          <w:rFonts w:ascii="Lato" w:eastAsia="Times New Roman" w:hAnsi="Lato"/>
          <w:sz w:val="22"/>
          <w:szCs w:val="22"/>
        </w:rPr>
        <w:t xml:space="preserve">Investigation </w:t>
      </w:r>
      <w:r>
        <w:rPr>
          <w:rFonts w:ascii="Lato" w:eastAsia="Times New Roman" w:hAnsi="Lato"/>
          <w:sz w:val="22"/>
          <w:szCs w:val="22"/>
        </w:rPr>
        <w:br/>
      </w:r>
      <w:bookmarkStart w:id="4" w:name="_Hlk167822374"/>
      <w:r>
        <w:rPr>
          <w:rFonts w:ascii="Lato" w:eastAsia="Times New Roman" w:hAnsi="Lato"/>
          <w:sz w:val="22"/>
          <w:szCs w:val="22"/>
        </w:rPr>
        <w:t xml:space="preserve">In most cases, a thorough investigation will take no more than thirty (30) business days. YES CHARTER ACADEMY </w:t>
      </w:r>
      <w:bookmarkEnd w:id="4"/>
      <w:r>
        <w:rPr>
          <w:rFonts w:ascii="Lato" w:eastAsia="Times New Roman" w:hAnsi="Lato"/>
          <w:sz w:val="22"/>
          <w:szCs w:val="22"/>
        </w:rPr>
        <w:t>has the burden to conduct an investigation that gathers sufficient evidence to determine whether sexual harassment occurred. The investigator will review all evidence gathered through the investigation and determine what evidence is relevant and what evidence is impermissible regardless of relevance in accordance with Title IX.</w:t>
      </w:r>
      <w:r>
        <w:rPr>
          <w:rFonts w:ascii="Lato" w:eastAsia="Times New Roman" w:hAnsi="Lato"/>
          <w:sz w:val="22"/>
          <w:szCs w:val="22"/>
        </w:rPr>
        <w:br/>
      </w:r>
      <w:r>
        <w:rPr>
          <w:rFonts w:ascii="Lato" w:eastAsia="Times New Roman" w:hAnsi="Lato"/>
          <w:sz w:val="22"/>
          <w:szCs w:val="22"/>
        </w:rPr>
        <w:br/>
        <w:t xml:space="preserve">The following types of evidence, and questions seeking that evidence, are impermissible (i.e., will not be used, accessed, considered, or disclosed), regardless of whether they are relevant: </w:t>
      </w:r>
    </w:p>
    <w:p w:rsidR="00000000" w:rsidRDefault="00000000">
      <w:pPr>
        <w:numPr>
          <w:ilvl w:val="0"/>
          <w:numId w:val="5"/>
        </w:numPr>
        <w:spacing w:after="3" w:line="240" w:lineRule="auto"/>
        <w:ind w:left="730"/>
        <w:divId w:val="270481884"/>
        <w:rPr>
          <w:rFonts w:ascii="Lato" w:eastAsia="Times New Roman" w:hAnsi="Lato"/>
          <w:sz w:val="22"/>
          <w:szCs w:val="22"/>
        </w:rPr>
      </w:pPr>
      <w:r>
        <w:rPr>
          <w:rFonts w:ascii="Lato" w:eastAsia="Times New Roman" w:hAnsi="Lato"/>
          <w:sz w:val="22"/>
          <w:szCs w:val="22"/>
        </w:rPr>
        <w:t>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YES CHARTER ACADEMY obtains that party’s voluntary, written consent to do so for these grievance procedures; and</w:t>
      </w:r>
    </w:p>
    <w:p w:rsidR="00000000" w:rsidRDefault="00000000">
      <w:pPr>
        <w:numPr>
          <w:ilvl w:val="0"/>
          <w:numId w:val="5"/>
        </w:numPr>
        <w:spacing w:after="3" w:line="240" w:lineRule="auto"/>
        <w:ind w:left="730"/>
        <w:divId w:val="270481884"/>
        <w:rPr>
          <w:rFonts w:ascii="Lato" w:eastAsia="Times New Roman" w:hAnsi="Lato"/>
          <w:sz w:val="22"/>
          <w:szCs w:val="22"/>
        </w:rPr>
      </w:pPr>
      <w:r>
        <w:rPr>
          <w:rFonts w:ascii="Lato" w:eastAsia="Times New Roman" w:hAnsi="Lato"/>
          <w:sz w:val="22"/>
          <w:szCs w:val="22"/>
        </w:rPr>
        <w:t>Evidence about the complainant’s sexual predisposition or prior sexual behavior,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The parties will be provided with an equal opportunity to present witnesses, to inspect and review any evidence obtained that is directly related to the allegations raised, and to have an advisor present during any investigative meeting or interview. The parties will not be prohibited from discussing the allegations under investigation or from gathering and presenting relevant evidence. A party whose participation is invited or expected at an investigative meeting or interview will receive written notice of the date, time, location, participants, and purpose of the meeting or interview with sufficient time for the party to prepare to participate.</w:t>
      </w:r>
      <w:r>
        <w:rPr>
          <w:rFonts w:ascii="Lato" w:eastAsia="Times New Roman" w:hAnsi="Lato"/>
          <w:sz w:val="22"/>
          <w:szCs w:val="22"/>
        </w:rPr>
        <w:br/>
      </w:r>
      <w:r>
        <w:rPr>
          <w:rFonts w:ascii="Lato" w:eastAsia="Times New Roman" w:hAnsi="Lato"/>
          <w:sz w:val="22"/>
          <w:szCs w:val="22"/>
        </w:rPr>
        <w:br/>
        <w:t>Before the investigator completes the investigative report, YES CHARTER ACADEMY will send to each party and the party’s advisor, if any, a copy of the evidence subject to inspection and review, and the parties will have at least ten (10) days to submit a written response for the investigator to consider prior to completing the investigation report.</w:t>
      </w:r>
      <w:r>
        <w:rPr>
          <w:rFonts w:ascii="Lato" w:eastAsia="Times New Roman" w:hAnsi="Lato"/>
          <w:sz w:val="22"/>
          <w:szCs w:val="22"/>
        </w:rPr>
        <w:br/>
      </w:r>
      <w:r>
        <w:rPr>
          <w:rFonts w:ascii="Lato" w:eastAsia="Times New Roman" w:hAnsi="Lato"/>
          <w:sz w:val="22"/>
          <w:szCs w:val="22"/>
        </w:rPr>
        <w:br/>
        <w:t>The investigator will complete an investigation report that fairly summarizes relevant evidence and send a copy of the report to each party and the party’s advisor, if any, at least ten (10) days prior to the determination of responsibility.</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Determination of Responsibility</w:t>
      </w:r>
      <w:r>
        <w:rPr>
          <w:rFonts w:ascii="Lato" w:eastAsia="Times New Roman" w:hAnsi="Lato"/>
          <w:sz w:val="22"/>
          <w:szCs w:val="22"/>
        </w:rPr>
        <w:br/>
        <w:t>Before making a determination of responsibility, the decisionmaker must afford each party the opportunity to submit written, relevant questions that a party wants to ask of any party or witness, provide each party with the answers, and allow for additional, limited follow-up questions from each party. The decisionmaker must explain to the party proposing the questions any decision to exclude a question as not relevant.</w:t>
      </w:r>
      <w:r>
        <w:rPr>
          <w:rFonts w:ascii="Lato" w:eastAsia="Times New Roman" w:hAnsi="Lato"/>
          <w:sz w:val="22"/>
          <w:szCs w:val="22"/>
        </w:rPr>
        <w:br/>
      </w:r>
      <w:r>
        <w:rPr>
          <w:rFonts w:ascii="Lato" w:eastAsia="Times New Roman" w:hAnsi="Lato"/>
          <w:sz w:val="22"/>
          <w:szCs w:val="22"/>
        </w:rPr>
        <w:br/>
        <w:t xml:space="preserve">Determinations will be based on an objective evaluation of all relevant and not otherwise impermissible evidence and credibility determinations will not be based on a person’s status as a complainant, respondent, or witness. The standard of evidence used to determine responsibility is </w:t>
      </w:r>
      <w:r>
        <w:rPr>
          <w:rFonts w:ascii="Lato" w:eastAsia="Times New Roman" w:hAnsi="Lato"/>
          <w:sz w:val="22"/>
          <w:szCs w:val="22"/>
        </w:rPr>
        <w:lastRenderedPageBreak/>
        <w:t>the preponderance of the evidence standard.</w:t>
      </w:r>
      <w:r>
        <w:rPr>
          <w:rFonts w:ascii="Lato" w:eastAsia="Times New Roman" w:hAnsi="Lato"/>
          <w:sz w:val="22"/>
          <w:szCs w:val="22"/>
        </w:rPr>
        <w:br/>
      </w:r>
      <w:r>
        <w:rPr>
          <w:rFonts w:ascii="Lato" w:eastAsia="Times New Roman" w:hAnsi="Lato"/>
          <w:sz w:val="22"/>
          <w:szCs w:val="22"/>
        </w:rPr>
        <w:br/>
        <w:t xml:space="preserve">Within twenty (20) business days after YES CHARTER ACADEMY sends the investigation report to the parties, the decisionmaker, who will not be the same person as the Coordinator or investigator, will simultaneously send the parties a written determination of whether sexual harassment occurred. The written determination will include: </w:t>
      </w:r>
    </w:p>
    <w:p w:rsidR="00000000" w:rsidRDefault="00000000">
      <w:pPr>
        <w:numPr>
          <w:ilvl w:val="0"/>
          <w:numId w:val="6"/>
        </w:numPr>
        <w:spacing w:before="100" w:beforeAutospacing="1" w:after="100" w:afterAutospacing="1" w:line="240" w:lineRule="auto"/>
        <w:ind w:left="1440"/>
        <w:divId w:val="270481884"/>
        <w:rPr>
          <w:rFonts w:ascii="Lato" w:eastAsia="Times New Roman" w:hAnsi="Lato"/>
          <w:sz w:val="22"/>
          <w:szCs w:val="22"/>
        </w:rPr>
      </w:pPr>
    </w:p>
    <w:p w:rsidR="00000000" w:rsidRDefault="00000000">
      <w:pPr>
        <w:numPr>
          <w:ilvl w:val="1"/>
          <w:numId w:val="6"/>
        </w:numPr>
        <w:spacing w:before="100" w:beforeAutospacing="1" w:after="100" w:afterAutospacing="1" w:line="240" w:lineRule="auto"/>
        <w:ind w:left="2160"/>
        <w:divId w:val="270481884"/>
        <w:rPr>
          <w:rFonts w:ascii="Lato" w:eastAsia="Times New Roman" w:hAnsi="Lato"/>
          <w:sz w:val="22"/>
          <w:szCs w:val="22"/>
        </w:rPr>
      </w:pP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The allegations of sexual harassment;</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A description of the procedural steps taken including any notifications to the parties, interviews with parties and witnesses, site visits, and methods used to gather other evidence;</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The findings of facts supporting the determination;</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The conclusions regarding the application of YES CHARTER ACADEMY’s code of conduct to the facts;</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The decision and rationale for each allegation;</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Any recommended disciplinary sanctions for the respondent, and whether remedies designed to restore or preserve equal access to the education program or activity will be provided to the complainant; and</w:t>
      </w:r>
    </w:p>
    <w:p w:rsidR="00000000" w:rsidRDefault="00000000">
      <w:pPr>
        <w:numPr>
          <w:ilvl w:val="2"/>
          <w:numId w:val="6"/>
        </w:numPr>
        <w:spacing w:after="3" w:line="240" w:lineRule="auto"/>
        <w:ind w:left="2170"/>
        <w:divId w:val="270481884"/>
        <w:rPr>
          <w:rFonts w:ascii="Lato" w:eastAsia="Times New Roman" w:hAnsi="Lato"/>
          <w:sz w:val="22"/>
          <w:szCs w:val="22"/>
        </w:rPr>
      </w:pPr>
      <w:r>
        <w:rPr>
          <w:rFonts w:ascii="Lato" w:eastAsia="Times New Roman" w:hAnsi="Lato"/>
          <w:sz w:val="22"/>
          <w:szCs w:val="22"/>
        </w:rPr>
        <w:t>The procedures and permissible bases for appeals.</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The determination regarding responsibility becomes final either on the date that YES CHARTER ACADEMY provides the parties with the written appeal decision, if an appeal is filed, or if an appeal is not filed, the date on which an appeal would no longer be considered timely.</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rPr>
        <w:t xml:space="preserve">Appeals </w:t>
      </w:r>
      <w:r>
        <w:rPr>
          <w:rFonts w:ascii="Lato" w:eastAsia="Times New Roman" w:hAnsi="Lato"/>
          <w:sz w:val="22"/>
          <w:szCs w:val="22"/>
        </w:rPr>
        <w:br/>
        <w:t xml:space="preserve">Either party may, within five (5) business days of their receipt of YES CHARTER ACADEMY’s written determination of responsibility or dismissal of a formal complaint of sexual harassment, submit a written appeal to the </w:t>
      </w:r>
      <w:r>
        <w:rPr>
          <w:rFonts w:ascii="Lato" w:eastAsia="Times New Roman" w:hAnsi="Lato"/>
          <w:sz w:val="22"/>
          <w:szCs w:val="22"/>
          <w:shd w:val="clear" w:color="auto" w:fill="FFFF00"/>
        </w:rPr>
        <w:t>Chair (President) of the YES CHARTER ACADEMY</w:t>
      </w:r>
      <w:r>
        <w:rPr>
          <w:rFonts w:ascii="Lato" w:eastAsia="Times New Roman" w:hAnsi="Lato"/>
          <w:sz w:val="22"/>
          <w:szCs w:val="22"/>
        </w:rPr>
        <w:t xml:space="preserve"> </w:t>
      </w:r>
      <w:r>
        <w:rPr>
          <w:rFonts w:ascii="Lato" w:eastAsia="Times New Roman" w:hAnsi="Lato"/>
          <w:sz w:val="22"/>
          <w:szCs w:val="22"/>
          <w:shd w:val="clear" w:color="auto" w:fill="FFFF00"/>
        </w:rPr>
        <w:t>Council of Directors</w:t>
      </w:r>
      <w:r>
        <w:rPr>
          <w:rFonts w:ascii="Lato" w:eastAsia="Times New Roman" w:hAnsi="Lato"/>
          <w:sz w:val="22"/>
          <w:szCs w:val="22"/>
        </w:rPr>
        <w:t>, who will serve as the decisionmaker for the appeal or designate a decisionmaker for the appeal.</w:t>
      </w:r>
      <w:r>
        <w:rPr>
          <w:rFonts w:ascii="Lato" w:eastAsia="Times New Roman" w:hAnsi="Lato"/>
          <w:sz w:val="22"/>
          <w:szCs w:val="22"/>
        </w:rPr>
        <w:br/>
      </w:r>
      <w:r>
        <w:rPr>
          <w:rFonts w:ascii="Lato" w:eastAsia="Times New Roman" w:hAnsi="Lato"/>
          <w:sz w:val="22"/>
          <w:szCs w:val="22"/>
        </w:rPr>
        <w:br/>
        <w:t xml:space="preserve">The complainant and respondent may only appeal from a determination regarding responsibility or YES CHARTER ACADEMY’s dismissal of a formal complaint of sexual harassment or any allegations therein, on one or more of the following bases: </w:t>
      </w:r>
    </w:p>
    <w:p w:rsidR="00000000" w:rsidRDefault="00000000">
      <w:pPr>
        <w:numPr>
          <w:ilvl w:val="0"/>
          <w:numId w:val="7"/>
        </w:numPr>
        <w:spacing w:after="3" w:line="240" w:lineRule="auto"/>
        <w:ind w:left="730"/>
        <w:divId w:val="270481884"/>
        <w:rPr>
          <w:rFonts w:ascii="Lato" w:eastAsia="Times New Roman" w:hAnsi="Lato"/>
          <w:sz w:val="22"/>
          <w:szCs w:val="22"/>
        </w:rPr>
      </w:pPr>
      <w:r>
        <w:rPr>
          <w:rFonts w:ascii="Lato" w:eastAsia="Times New Roman" w:hAnsi="Lato"/>
          <w:sz w:val="22"/>
          <w:szCs w:val="22"/>
        </w:rPr>
        <w:t>Procedural irregularity that affected the outcome of the matter;</w:t>
      </w:r>
    </w:p>
    <w:p w:rsidR="00000000" w:rsidRDefault="00000000">
      <w:pPr>
        <w:numPr>
          <w:ilvl w:val="0"/>
          <w:numId w:val="7"/>
        </w:numPr>
        <w:spacing w:after="3" w:line="240" w:lineRule="auto"/>
        <w:ind w:left="730"/>
        <w:divId w:val="270481884"/>
        <w:rPr>
          <w:rFonts w:ascii="Lato" w:eastAsia="Times New Roman" w:hAnsi="Lato"/>
          <w:sz w:val="22"/>
          <w:szCs w:val="22"/>
        </w:rPr>
      </w:pPr>
      <w:r>
        <w:rPr>
          <w:rFonts w:ascii="Lato" w:eastAsia="Times New Roman" w:hAnsi="Lato"/>
          <w:sz w:val="22"/>
          <w:szCs w:val="22"/>
        </w:rPr>
        <w:t>New evidence that was not reasonably available at the time the determination regarding responsibility or dismissal was made, that could affect the outcome of the matter; or</w:t>
      </w:r>
    </w:p>
    <w:p w:rsidR="00000000" w:rsidRDefault="00000000">
      <w:pPr>
        <w:numPr>
          <w:ilvl w:val="0"/>
          <w:numId w:val="7"/>
        </w:numPr>
        <w:spacing w:after="3" w:line="240" w:lineRule="auto"/>
        <w:ind w:left="730"/>
        <w:divId w:val="270481884"/>
        <w:rPr>
          <w:rFonts w:ascii="Lato" w:eastAsia="Times New Roman" w:hAnsi="Lato"/>
          <w:sz w:val="22"/>
          <w:szCs w:val="22"/>
        </w:rPr>
      </w:pPr>
      <w:r>
        <w:rPr>
          <w:rFonts w:ascii="Lato" w:eastAsia="Times New Roman" w:hAnsi="Lato"/>
          <w:sz w:val="22"/>
          <w:szCs w:val="22"/>
        </w:rPr>
        <w:t>The Coordinator, investigator(s), or decisionmaker(s) had a conflict of interest or bias for or against complainants or respondents generally or the individual complainant or respondent that affected the outcome of the matter.</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The decisionmaker for the appeal will not be the same person as the Coordinator, the investigator or the initial decisionmaker.</w:t>
      </w:r>
      <w:r>
        <w:rPr>
          <w:rFonts w:ascii="Lato" w:eastAsia="Times New Roman" w:hAnsi="Lato"/>
          <w:sz w:val="22"/>
          <w:szCs w:val="22"/>
        </w:rPr>
        <w:br/>
      </w:r>
      <w:r>
        <w:rPr>
          <w:rFonts w:ascii="Lato" w:eastAsia="Times New Roman" w:hAnsi="Lato"/>
          <w:sz w:val="22"/>
          <w:szCs w:val="22"/>
        </w:rPr>
        <w:br/>
        <w:t>The decisionmaker for the appeal will: 1) notify the other party of the appeal in writing; 2) implement appeal procedures equally for the parties; 3) allow the parties to submit a written statement in support of, or challenging, the outcome within five (5) business days of notice of the appeal; and 4) within fifteen (15) business days of the appeal, provide a written decision simultaneously to the parties describing the result of the appeal and the rationale for the result.</w:t>
      </w:r>
      <w:r>
        <w:rPr>
          <w:rFonts w:ascii="Lato" w:eastAsia="Times New Roman" w:hAnsi="Lato"/>
          <w:sz w:val="22"/>
          <w:szCs w:val="22"/>
        </w:rPr>
        <w:br/>
      </w:r>
      <w:r>
        <w:rPr>
          <w:rFonts w:ascii="Lato" w:eastAsia="Times New Roman" w:hAnsi="Lato"/>
          <w:sz w:val="22"/>
          <w:szCs w:val="22"/>
        </w:rPr>
        <w:lastRenderedPageBreak/>
        <w:br/>
      </w:r>
      <w:r>
        <w:rPr>
          <w:rStyle w:val="Strong"/>
          <w:rFonts w:ascii="Lato" w:eastAsia="Times New Roman" w:hAnsi="Lato"/>
          <w:sz w:val="22"/>
          <w:szCs w:val="22"/>
        </w:rPr>
        <w:t xml:space="preserve">Consequences </w:t>
      </w:r>
      <w:r>
        <w:rPr>
          <w:rFonts w:ascii="Lato" w:eastAsia="Times New Roman" w:hAnsi="Lato"/>
          <w:sz w:val="22"/>
          <w:szCs w:val="22"/>
        </w:rPr>
        <w:br/>
        <w:t>Students or employees who engage in misconduct prohibited by this Policy, knowingly make false statements or knowingly submit false information during the grievance process, may be subject to disciplinary action up to and including expulsion from YES CHARTER ACADEMY or termination of employment. If there is a determination that sexual harassment occurred, the Coordinator is responsible for effective implementation of any remedies ordered by YES CHARTER ACADEMY.</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u w:val="single"/>
        </w:rPr>
        <w:t>Training</w:t>
      </w:r>
      <w:r>
        <w:rPr>
          <w:rFonts w:ascii="Lato" w:eastAsia="Times New Roman" w:hAnsi="Lato"/>
          <w:sz w:val="22"/>
          <w:szCs w:val="22"/>
        </w:rPr>
        <w:br/>
      </w:r>
      <w:r>
        <w:rPr>
          <w:rFonts w:ascii="Lato" w:eastAsia="Times New Roman" w:hAnsi="Lato"/>
          <w:sz w:val="22"/>
          <w:szCs w:val="22"/>
        </w:rPr>
        <w:br/>
        <w:t>All supervisors of staff will receive sexual harassment training within six (6) months of their assumption of a supervisory position and will receive further training once every two (2) years thereafter. All Title IX Coordinators, investigators, decisionmakers, and any person who facilitates a Title IX informal resolution process will receive Title IX training and/or instruction concerning sexual harassment as required by law.</w:t>
      </w:r>
      <w:r>
        <w:rPr>
          <w:rFonts w:ascii="Lato" w:eastAsia="Times New Roman" w:hAnsi="Lato"/>
          <w:sz w:val="22"/>
          <w:szCs w:val="22"/>
        </w:rPr>
        <w:br/>
      </w:r>
      <w:r>
        <w:rPr>
          <w:rFonts w:ascii="Lato" w:eastAsia="Times New Roman" w:hAnsi="Lato"/>
          <w:sz w:val="22"/>
          <w:szCs w:val="22"/>
        </w:rPr>
        <w:br/>
      </w:r>
      <w:r>
        <w:rPr>
          <w:rStyle w:val="Strong"/>
          <w:rFonts w:ascii="Lato" w:eastAsia="Times New Roman" w:hAnsi="Lato"/>
          <w:sz w:val="22"/>
          <w:szCs w:val="22"/>
          <w:u w:val="single"/>
        </w:rPr>
        <w:t>Recordkeeping</w:t>
      </w:r>
      <w:r>
        <w:rPr>
          <w:rFonts w:ascii="Lato" w:eastAsia="Times New Roman" w:hAnsi="Lato"/>
          <w:sz w:val="22"/>
          <w:szCs w:val="22"/>
        </w:rPr>
        <w:br/>
      </w:r>
      <w:r>
        <w:rPr>
          <w:rFonts w:ascii="Lato" w:eastAsia="Times New Roman" w:hAnsi="Lato"/>
          <w:sz w:val="22"/>
          <w:szCs w:val="22"/>
        </w:rPr>
        <w:br/>
        <w:t xml:space="preserve">YES CHARTER ACADEMY will maintain the following records for at least seven (7) years: </w:t>
      </w:r>
    </w:p>
    <w:p w:rsidR="00000000" w:rsidRDefault="00000000">
      <w:pPr>
        <w:numPr>
          <w:ilvl w:val="0"/>
          <w:numId w:val="8"/>
        </w:numPr>
        <w:spacing w:after="3" w:line="240" w:lineRule="auto"/>
        <w:ind w:left="730"/>
        <w:divId w:val="270481884"/>
        <w:rPr>
          <w:rFonts w:ascii="Lato" w:eastAsia="Times New Roman" w:hAnsi="Lato"/>
          <w:sz w:val="22"/>
          <w:szCs w:val="22"/>
        </w:rPr>
      </w:pPr>
      <w:r>
        <w:rPr>
          <w:rFonts w:ascii="Lato" w:eastAsia="Times New Roman" w:hAnsi="Lato"/>
          <w:sz w:val="22"/>
          <w:szCs w:val="22"/>
        </w:rPr>
        <w:t>Records of each sexual harassment investigation, including any determination of responsibility; any audio or audiovisual recording or transcript; any disciplinary sanctions imposed on the respondent; and any remedies provided to the complainant;</w:t>
      </w:r>
    </w:p>
    <w:p w:rsidR="00000000" w:rsidRDefault="00000000">
      <w:pPr>
        <w:numPr>
          <w:ilvl w:val="0"/>
          <w:numId w:val="8"/>
        </w:numPr>
        <w:spacing w:after="3" w:line="240" w:lineRule="auto"/>
        <w:ind w:left="730"/>
        <w:divId w:val="270481884"/>
        <w:rPr>
          <w:rFonts w:ascii="Lato" w:eastAsia="Times New Roman" w:hAnsi="Lato"/>
          <w:sz w:val="22"/>
          <w:szCs w:val="22"/>
        </w:rPr>
      </w:pPr>
      <w:r>
        <w:rPr>
          <w:rFonts w:ascii="Lato" w:eastAsia="Times New Roman" w:hAnsi="Lato"/>
          <w:sz w:val="22"/>
          <w:szCs w:val="22"/>
        </w:rPr>
        <w:t>Records of any appeal of a formal complaint or sexual harassment and the results of that appeal;</w:t>
      </w:r>
    </w:p>
    <w:p w:rsidR="00000000" w:rsidRDefault="00000000">
      <w:pPr>
        <w:numPr>
          <w:ilvl w:val="0"/>
          <w:numId w:val="8"/>
        </w:numPr>
        <w:spacing w:after="3" w:line="240" w:lineRule="auto"/>
        <w:ind w:left="730"/>
        <w:divId w:val="270481884"/>
        <w:rPr>
          <w:rFonts w:ascii="Lato" w:eastAsia="Times New Roman" w:hAnsi="Lato"/>
          <w:sz w:val="22"/>
          <w:szCs w:val="22"/>
        </w:rPr>
      </w:pPr>
      <w:r>
        <w:rPr>
          <w:rFonts w:ascii="Lato" w:eastAsia="Times New Roman" w:hAnsi="Lato"/>
          <w:sz w:val="22"/>
          <w:szCs w:val="22"/>
        </w:rPr>
        <w:t>Records of any informal resolution of a formal complaint or sexual harassment and the results of that informal resolution;</w:t>
      </w:r>
    </w:p>
    <w:p w:rsidR="00000000" w:rsidRDefault="00000000">
      <w:pPr>
        <w:numPr>
          <w:ilvl w:val="0"/>
          <w:numId w:val="8"/>
        </w:numPr>
        <w:spacing w:after="3" w:line="240" w:lineRule="auto"/>
        <w:ind w:left="730"/>
        <w:divId w:val="270481884"/>
        <w:rPr>
          <w:rFonts w:ascii="Lato" w:eastAsia="Times New Roman" w:hAnsi="Lato"/>
          <w:sz w:val="22"/>
          <w:szCs w:val="22"/>
        </w:rPr>
      </w:pPr>
      <w:r>
        <w:rPr>
          <w:rFonts w:ascii="Lato" w:eastAsia="Times New Roman" w:hAnsi="Lato"/>
          <w:sz w:val="22"/>
          <w:szCs w:val="22"/>
        </w:rPr>
        <w:t>All materials used to train Title IX Coordinators, investigators, decisionmakers, and any person who facilitates an informal resolution process; and</w:t>
      </w:r>
    </w:p>
    <w:p w:rsidR="00000000" w:rsidRDefault="00000000">
      <w:pPr>
        <w:numPr>
          <w:ilvl w:val="0"/>
          <w:numId w:val="8"/>
        </w:numPr>
        <w:spacing w:after="3" w:line="240" w:lineRule="auto"/>
        <w:ind w:left="730"/>
        <w:divId w:val="270481884"/>
        <w:rPr>
          <w:rFonts w:ascii="Lato" w:eastAsia="Times New Roman" w:hAnsi="Lato"/>
          <w:sz w:val="22"/>
          <w:szCs w:val="22"/>
        </w:rPr>
      </w:pPr>
      <w:r>
        <w:rPr>
          <w:rFonts w:ascii="Lato" w:eastAsia="Times New Roman" w:hAnsi="Lato"/>
          <w:sz w:val="22"/>
          <w:szCs w:val="22"/>
        </w:rPr>
        <w:t>Records of any actions, including any supportive measures, taken in response to a report or formal complaint of sexual harassment.</w:t>
      </w:r>
    </w:p>
    <w:p w:rsidR="00000000" w:rsidRDefault="00000000">
      <w:pPr>
        <w:spacing w:after="0"/>
        <w:divId w:val="270481884"/>
        <w:rPr>
          <w:rFonts w:ascii="Lato" w:eastAsia="Times New Roman" w:hAnsi="Lato"/>
          <w:sz w:val="22"/>
          <w:szCs w:val="22"/>
        </w:rPr>
      </w:pPr>
      <w:r>
        <w:rPr>
          <w:rFonts w:ascii="Lato" w:eastAsia="Times New Roman" w:hAnsi="Lato"/>
          <w:sz w:val="22"/>
          <w:szCs w:val="22"/>
        </w:rPr>
        <w:br/>
        <w:t xml:space="preserve">The above records will be maintained in a secure location until destroyed in accordance with applicable laws and regulations. </w:t>
      </w:r>
    </w:p>
    <w:p w:rsidR="00000000" w:rsidRDefault="00000000">
      <w:pPr>
        <w:divId w:val="1552616319"/>
        <w:rPr>
          <w:rFonts w:ascii="Lato" w:eastAsia="Times New Roman" w:hAnsi="Lato"/>
          <w:sz w:val="22"/>
          <w:szCs w:val="22"/>
        </w:rPr>
      </w:pPr>
      <w:r>
        <w:rPr>
          <w:rFonts w:ascii="Lato" w:eastAsia="Times New Roman" w:hAnsi="Lato"/>
          <w:sz w:val="22"/>
          <w:szCs w:val="22"/>
        </w:rPr>
        <w:t xml:space="preserve">  </w:t>
      </w:r>
    </w:p>
    <w:p w:rsidR="00000000" w:rsidRDefault="00000000">
      <w:pPr>
        <w:divId w:val="1552616319"/>
        <w:rPr>
          <w:rFonts w:ascii="Lato" w:eastAsia="Times New Roman" w:hAnsi="Lato"/>
          <w:sz w:val="22"/>
          <w:szCs w:val="22"/>
        </w:rPr>
      </w:pPr>
      <w:r>
        <w:rPr>
          <w:rFonts w:ascii="Lato" w:eastAsia="Times New Roman" w:hAnsi="Lato"/>
          <w:sz w:val="22"/>
          <w:szCs w:val="22"/>
        </w:rPr>
        <w:pict>
          <v:rect id="_x0000_i1025" style="width:154.45pt;height:.75pt" o:hrpct="330" o:hrstd="t" o:hr="t" fillcolor="#a0a0a0" stroked="f"/>
        </w:pict>
      </w:r>
    </w:p>
    <w:bookmarkStart w:id="5" w:name="_ftn1"/>
    <w:p w:rsidR="00000000" w:rsidRDefault="00000000">
      <w:pPr>
        <w:divId w:val="1127553595"/>
        <w:rPr>
          <w:rFonts w:ascii="Lato" w:eastAsia="Times New Roman" w:hAnsi="Lato"/>
          <w:sz w:val="22"/>
          <w:szCs w:val="22"/>
        </w:rPr>
      </w:pPr>
      <w:r>
        <w:rPr>
          <w:rFonts w:ascii="Lato" w:eastAsia="Times New Roman" w:hAnsi="Lato"/>
          <w:sz w:val="22"/>
          <w:szCs w:val="22"/>
        </w:rPr>
        <w:fldChar w:fldCharType="begin"/>
      </w:r>
      <w:r>
        <w:rPr>
          <w:rFonts w:ascii="Lato" w:eastAsia="Times New Roman" w:hAnsi="Lato"/>
          <w:sz w:val="22"/>
          <w:szCs w:val="22"/>
        </w:rPr>
        <w:instrText>HYPERLINK "" \l "_ftnref1" \o ""</w:instrText>
      </w:r>
      <w:r>
        <w:rPr>
          <w:rFonts w:ascii="Lato" w:eastAsia="Times New Roman" w:hAnsi="Lato"/>
          <w:sz w:val="22"/>
          <w:szCs w:val="22"/>
        </w:rPr>
      </w:r>
      <w:r>
        <w:rPr>
          <w:rFonts w:ascii="Lato" w:eastAsia="Times New Roman" w:hAnsi="Lato"/>
          <w:sz w:val="22"/>
          <w:szCs w:val="22"/>
        </w:rPr>
        <w:fldChar w:fldCharType="separate"/>
      </w:r>
      <w:r>
        <w:rPr>
          <w:rStyle w:val="FootnoteReference"/>
          <w:rFonts w:ascii="Lato" w:eastAsia="Times New Roman" w:hAnsi="Lato"/>
          <w:color w:val="0000FF"/>
          <w:sz w:val="22"/>
          <w:szCs w:val="22"/>
          <w:u w:val="single"/>
          <w:vertAlign w:val="superscript"/>
        </w:rPr>
        <w:t>[1]</w:t>
      </w:r>
      <w:r>
        <w:rPr>
          <w:rFonts w:ascii="Lato" w:eastAsia="Times New Roman" w:hAnsi="Lato"/>
          <w:sz w:val="22"/>
          <w:szCs w:val="22"/>
        </w:rPr>
        <w:fldChar w:fldCharType="end"/>
      </w:r>
      <w:bookmarkEnd w:id="5"/>
      <w:r>
        <w:rPr>
          <w:rFonts w:ascii="Lato" w:eastAsia="Times New Roman" w:hAnsi="Lato"/>
          <w:sz w:val="22"/>
          <w:szCs w:val="22"/>
        </w:rPr>
        <w:t xml:space="preserve"> Inculpatory means tending to impute guilt or fault, and exculpatory means tending to absolve from guilt or fault.</w:t>
      </w:r>
    </w:p>
    <w:p w:rsidR="00456163" w:rsidRDefault="00456163">
      <w:pPr>
        <w:pBdr>
          <w:bottom w:val="single" w:sz="5" w:space="1" w:color="auto"/>
        </w:pBdr>
      </w:pPr>
    </w:p>
    <w:p w:rsidR="00000000" w:rsidRDefault="00000000">
      <w:pPr>
        <w:divId w:val="1658143847"/>
        <w:rPr>
          <w:rFonts w:ascii="Lato" w:eastAsia="Times New Roman" w:hAnsi="Lato"/>
          <w:kern w:val="0"/>
          <w:sz w:val="22"/>
          <w:szCs w:val="22"/>
          <w14:ligatures w14:val="none"/>
        </w:rPr>
      </w:pPr>
      <w:r>
        <w:rPr>
          <w:rFonts w:ascii="Lato" w:eastAsia="Times New Roman" w:hAnsi="Lato"/>
          <w:sz w:val="22"/>
          <w:szCs w:val="22"/>
        </w:rPr>
        <w:t> </w:t>
      </w:r>
    </w:p>
    <w:p w:rsidR="00000000" w:rsidRDefault="00000000">
      <w:pPr>
        <w:pStyle w:val="Heading2"/>
        <w:shd w:val="clear" w:color="auto" w:fill="FFFFFF"/>
        <w:spacing w:before="0" w:beforeAutospacing="0" w:after="0" w:afterAutospacing="0"/>
        <w:textAlignment w:val="baseline"/>
        <w:divId w:val="118885569"/>
        <w:rPr>
          <w:rFonts w:ascii="Lato Black" w:eastAsia="Times New Roman" w:hAnsi="Lato Black"/>
          <w:b w:val="0"/>
          <w:bCs w:val="0"/>
          <w:color w:val="000000"/>
          <w:sz w:val="20"/>
          <w:szCs w:val="20"/>
        </w:rPr>
      </w:pPr>
      <w:r>
        <w:rPr>
          <w:rFonts w:ascii="Lato Black" w:eastAsia="Times New Roman" w:hAnsi="Lato Black"/>
          <w:b w:val="0"/>
          <w:bCs w:val="0"/>
          <w:color w:val="000000"/>
          <w:sz w:val="20"/>
          <w:szCs w:val="20"/>
        </w:rPr>
        <w:t>Policy Reference Disclaimer:</w:t>
      </w:r>
    </w:p>
    <w:p w:rsidR="00000000" w:rsidRDefault="00000000">
      <w:pPr>
        <w:divId w:val="118885569"/>
        <w:rPr>
          <w:rFonts w:ascii="Lato" w:eastAsia="Times New Roman" w:hAnsi="Lato"/>
          <w:sz w:val="22"/>
          <w:szCs w:val="22"/>
        </w:rPr>
      </w:pPr>
      <w:r>
        <w:rPr>
          <w:rFonts w:ascii="Lato" w:eastAsia="Times New Roman" w:hAnsi="Lato"/>
          <w:color w:val="000000"/>
          <w:sz w:val="20"/>
          <w:szCs w:val="20"/>
          <w:shd w:val="clear" w:color="auto" w:fill="FFFFFF"/>
        </w:rPr>
        <w:t>These references are not intended to be part of the policy itself, nor do they indicate the basis or authority for the Governing Board to enact this policy. Instead, they are provided as additional resources for those interested in the subject matter of the policy.</w:t>
      </w:r>
      <w:r>
        <w:rPr>
          <w:rFonts w:ascii="Lato" w:eastAsia="Times New Roman" w:hAnsi="Lato"/>
          <w:sz w:val="22"/>
          <w:szCs w:val="22"/>
        </w:rPr>
        <w:t xml:space="preserve"> </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456163">
        <w:tblPrEx>
          <w:tblCellMar>
            <w:top w:w="0" w:type="dxa"/>
            <w:bottom w:w="0" w:type="dxa"/>
          </w:tblCellMar>
        </w:tblPrEx>
        <w:tc>
          <w:tcPr>
            <w:tcW w:w="4017" w:type="dxa"/>
          </w:tcPr>
          <w:p w:rsidR="00456163" w:rsidRDefault="00000000">
            <w:pPr>
              <w:spacing w:after="0"/>
            </w:pPr>
            <w:r>
              <w:rPr>
                <w:rFonts w:ascii="Lato Black"/>
                <w:b/>
              </w:rPr>
              <w:t>State</w:t>
            </w:r>
          </w:p>
        </w:tc>
        <w:tc>
          <w:tcPr>
            <w:tcW w:w="5961" w:type="dxa"/>
          </w:tcPr>
          <w:p w:rsidR="00456163" w:rsidRDefault="00000000">
            <w:pPr>
              <w:spacing w:after="0"/>
            </w:pPr>
            <w:r>
              <w:rPr>
                <w:rFonts w:ascii="Lato Black"/>
                <w:b/>
              </w:rPr>
              <w:t>Description</w:t>
            </w:r>
          </w:p>
        </w:tc>
      </w:tr>
      <w:tr w:rsidR="00456163">
        <w:tblPrEx>
          <w:tblCellMar>
            <w:top w:w="0" w:type="dxa"/>
            <w:bottom w:w="0" w:type="dxa"/>
          </w:tblCellMar>
        </w:tblPrEx>
        <w:tc>
          <w:tcPr>
            <w:tcW w:w="4017" w:type="dxa"/>
          </w:tcPr>
          <w:p w:rsidR="00456163" w:rsidRDefault="00000000">
            <w:pPr>
              <w:spacing w:after="0"/>
            </w:pPr>
            <w:r>
              <w:rPr>
                <w:rFonts w:ascii="Lato"/>
              </w:rPr>
              <w:t>5 CCR 4600-4670</w:t>
            </w:r>
          </w:p>
        </w:tc>
        <w:tc>
          <w:tcPr>
            <w:tcW w:w="5961" w:type="dxa"/>
          </w:tcPr>
          <w:p w:rsidR="00456163" w:rsidRDefault="00000000">
            <w:r>
              <w:rPr>
                <w:rFonts w:ascii="Lato"/>
              </w:rPr>
              <w:t>Uniform complaint procedures</w:t>
            </w:r>
          </w:p>
        </w:tc>
      </w:tr>
      <w:tr w:rsidR="00456163">
        <w:tblPrEx>
          <w:tblCellMar>
            <w:top w:w="0" w:type="dxa"/>
            <w:bottom w:w="0" w:type="dxa"/>
          </w:tblCellMar>
        </w:tblPrEx>
        <w:tc>
          <w:tcPr>
            <w:tcW w:w="4017" w:type="dxa"/>
          </w:tcPr>
          <w:p w:rsidR="00456163" w:rsidRDefault="00000000">
            <w:pPr>
              <w:spacing w:after="0"/>
            </w:pPr>
            <w:r>
              <w:rPr>
                <w:rFonts w:ascii="Lato"/>
              </w:rPr>
              <w:t>5 CCR 4900-4965</w:t>
            </w:r>
          </w:p>
        </w:tc>
        <w:tc>
          <w:tcPr>
            <w:tcW w:w="5961" w:type="dxa"/>
          </w:tcPr>
          <w:p w:rsidR="00456163" w:rsidRDefault="00000000">
            <w:r>
              <w:rPr>
                <w:rFonts w:ascii="Lato"/>
              </w:rPr>
              <w:t xml:space="preserve">Nondiscrimination in elementary and secondary </w:t>
            </w:r>
            <w:r>
              <w:rPr>
                <w:rFonts w:ascii="Lato"/>
              </w:rPr>
              <w:lastRenderedPageBreak/>
              <w:t>educational programs receiving state or federal financial assistance</w:t>
            </w:r>
          </w:p>
        </w:tc>
      </w:tr>
      <w:tr w:rsidR="00456163">
        <w:tblPrEx>
          <w:tblCellMar>
            <w:top w:w="0" w:type="dxa"/>
            <w:bottom w:w="0" w:type="dxa"/>
          </w:tblCellMar>
        </w:tblPrEx>
        <w:tc>
          <w:tcPr>
            <w:tcW w:w="4017" w:type="dxa"/>
          </w:tcPr>
          <w:p w:rsidR="00456163" w:rsidRDefault="00000000">
            <w:pPr>
              <w:spacing w:after="0"/>
            </w:pPr>
            <w:r>
              <w:rPr>
                <w:rFonts w:ascii="Lato"/>
              </w:rPr>
              <w:lastRenderedPageBreak/>
              <w:t>Civ. Code 1714.1</w:t>
            </w:r>
          </w:p>
        </w:tc>
        <w:tc>
          <w:tcPr>
            <w:tcW w:w="5961" w:type="dxa"/>
          </w:tcPr>
          <w:p w:rsidR="00456163" w:rsidRDefault="00000000">
            <w:hyperlink r:id="rId5" w:docLocation="http://leginfo.legislature.ca.gov/faces/codes_displaySection.xhtml?sectionNum=1714.1.&amp;lawCode=CIV">
              <w:r>
                <w:rPr>
                  <w:rFonts w:ascii="Lato"/>
                  <w:color w:val="0563C1" w:themeColor="hyperlink"/>
                  <w:u w:val="single"/>
                </w:rPr>
                <w:t>Liability of parent/guardian for act of willful misconduct by a minor</w:t>
              </w:r>
            </w:hyperlink>
          </w:p>
        </w:tc>
      </w:tr>
      <w:tr w:rsidR="00456163">
        <w:tblPrEx>
          <w:tblCellMar>
            <w:top w:w="0" w:type="dxa"/>
            <w:bottom w:w="0" w:type="dxa"/>
          </w:tblCellMar>
        </w:tblPrEx>
        <w:tc>
          <w:tcPr>
            <w:tcW w:w="4017" w:type="dxa"/>
          </w:tcPr>
          <w:p w:rsidR="00456163" w:rsidRDefault="00000000">
            <w:pPr>
              <w:spacing w:after="0"/>
            </w:pPr>
            <w:r>
              <w:rPr>
                <w:rFonts w:ascii="Lato"/>
              </w:rPr>
              <w:t>Civ. Code 51.9</w:t>
            </w:r>
          </w:p>
        </w:tc>
        <w:tc>
          <w:tcPr>
            <w:tcW w:w="5961" w:type="dxa"/>
          </w:tcPr>
          <w:p w:rsidR="00456163" w:rsidRDefault="00000000">
            <w:hyperlink r:id="rId6" w:docLocation="http://leginfo.legislature.ca.gov/faces/codes_displaySection.xhtml?sectionNum=51.9.&amp;lawCode=CIV">
              <w:r>
                <w:rPr>
                  <w:rFonts w:ascii="Lato"/>
                  <w:color w:val="0563C1" w:themeColor="hyperlink"/>
                  <w:u w:val="single"/>
                </w:rPr>
                <w:t>Liability for sexual harassment; business, service and professional relationships</w:t>
              </w:r>
            </w:hyperlink>
          </w:p>
        </w:tc>
      </w:tr>
      <w:tr w:rsidR="00456163">
        <w:tblPrEx>
          <w:tblCellMar>
            <w:top w:w="0" w:type="dxa"/>
            <w:bottom w:w="0" w:type="dxa"/>
          </w:tblCellMar>
        </w:tblPrEx>
        <w:tc>
          <w:tcPr>
            <w:tcW w:w="4017" w:type="dxa"/>
          </w:tcPr>
          <w:p w:rsidR="00456163" w:rsidRDefault="00000000">
            <w:pPr>
              <w:spacing w:after="0"/>
            </w:pPr>
            <w:r>
              <w:rPr>
                <w:rFonts w:ascii="Lato"/>
              </w:rPr>
              <w:t>Ed. Code 200-262.4</w:t>
            </w:r>
          </w:p>
        </w:tc>
        <w:tc>
          <w:tcPr>
            <w:tcW w:w="5961" w:type="dxa"/>
          </w:tcPr>
          <w:p w:rsidR="00456163" w:rsidRDefault="00000000">
            <w:hyperlink r:id="rId7" w:docLocation="http://leginfo.legislature.ca.gov/faces/codes_displayText.xhtml?division=1.&amp;chapter=2.&amp;part=1.&amp;lawCode=EDC&amp;title=1.&amp;article=1.">
              <w:r>
                <w:rPr>
                  <w:rFonts w:ascii="Lato"/>
                  <w:color w:val="0563C1" w:themeColor="hyperlink"/>
                  <w:u w:val="single"/>
                </w:rPr>
                <w:t>Prohibition of discrimination</w:t>
              </w:r>
            </w:hyperlink>
          </w:p>
        </w:tc>
      </w:tr>
      <w:tr w:rsidR="00456163">
        <w:tblPrEx>
          <w:tblCellMar>
            <w:top w:w="0" w:type="dxa"/>
            <w:bottom w:w="0" w:type="dxa"/>
          </w:tblCellMar>
        </w:tblPrEx>
        <w:tc>
          <w:tcPr>
            <w:tcW w:w="4017" w:type="dxa"/>
          </w:tcPr>
          <w:p w:rsidR="00456163" w:rsidRDefault="00000000">
            <w:pPr>
              <w:spacing w:after="0"/>
            </w:pPr>
            <w:r>
              <w:rPr>
                <w:rFonts w:ascii="Lato"/>
              </w:rPr>
              <w:t>Ed. Code 48900</w:t>
            </w:r>
          </w:p>
        </w:tc>
        <w:tc>
          <w:tcPr>
            <w:tcW w:w="5961" w:type="dxa"/>
          </w:tcPr>
          <w:p w:rsidR="00456163" w:rsidRDefault="00000000">
            <w:hyperlink r:id="rId8" w:docLocation="https://leginfo.legislature.ca.gov/faces/codes_displaySection.xhtml?lawCode=EDC&amp;sectionNum=48900.">
              <w:r>
                <w:rPr>
                  <w:rFonts w:ascii="Lato"/>
                  <w:color w:val="0563C1" w:themeColor="hyperlink"/>
                  <w:u w:val="single"/>
                </w:rPr>
                <w:t>Grounds for suspension or expulsion</w:t>
              </w:r>
            </w:hyperlink>
          </w:p>
        </w:tc>
      </w:tr>
      <w:tr w:rsidR="00456163">
        <w:tblPrEx>
          <w:tblCellMar>
            <w:top w:w="0" w:type="dxa"/>
            <w:bottom w:w="0" w:type="dxa"/>
          </w:tblCellMar>
        </w:tblPrEx>
        <w:tc>
          <w:tcPr>
            <w:tcW w:w="4017" w:type="dxa"/>
          </w:tcPr>
          <w:p w:rsidR="00456163" w:rsidRDefault="00000000">
            <w:pPr>
              <w:spacing w:after="0"/>
            </w:pPr>
            <w:r>
              <w:rPr>
                <w:rFonts w:ascii="Lato"/>
              </w:rPr>
              <w:t>Ed. Code 48900.2</w:t>
            </w:r>
          </w:p>
        </w:tc>
        <w:tc>
          <w:tcPr>
            <w:tcW w:w="5961" w:type="dxa"/>
          </w:tcPr>
          <w:p w:rsidR="00456163" w:rsidRDefault="00000000">
            <w:hyperlink r:id="rId9" w:docLocation="https://leginfo.legislature.ca.gov/faces/codes_displaySection.xhtml?lawCode=EDC&amp;sectionNum=48900.2.">
              <w:r>
                <w:rPr>
                  <w:rFonts w:ascii="Lato"/>
                  <w:color w:val="0563C1" w:themeColor="hyperlink"/>
                  <w:u w:val="single"/>
                </w:rPr>
                <w:t>Additional grounds for suspension or expulsion; sexual harassment</w:t>
              </w:r>
            </w:hyperlink>
          </w:p>
        </w:tc>
      </w:tr>
      <w:tr w:rsidR="00456163">
        <w:tblPrEx>
          <w:tblCellMar>
            <w:top w:w="0" w:type="dxa"/>
            <w:bottom w:w="0" w:type="dxa"/>
          </w:tblCellMar>
        </w:tblPrEx>
        <w:tc>
          <w:tcPr>
            <w:tcW w:w="4017" w:type="dxa"/>
          </w:tcPr>
          <w:p w:rsidR="00456163" w:rsidRDefault="00000000">
            <w:pPr>
              <w:spacing w:after="0"/>
            </w:pPr>
            <w:r>
              <w:rPr>
                <w:rFonts w:ascii="Lato"/>
              </w:rPr>
              <w:t>Ed. Code 48985</w:t>
            </w:r>
          </w:p>
        </w:tc>
        <w:tc>
          <w:tcPr>
            <w:tcW w:w="5961" w:type="dxa"/>
          </w:tcPr>
          <w:p w:rsidR="00456163" w:rsidRDefault="00000000">
            <w:hyperlink r:id="rId10" w:docLocation="https://leginfo.legislature.ca.gov/faces/codes_displaySection.xhtml?lawCode=EDC&amp;sectionNum=48985.">
              <w:r>
                <w:rPr>
                  <w:rFonts w:ascii="Lato"/>
                  <w:color w:val="0563C1" w:themeColor="hyperlink"/>
                  <w:u w:val="single"/>
                </w:rPr>
                <w:t>Notices to parents in language other than English</w:t>
              </w:r>
            </w:hyperlink>
          </w:p>
        </w:tc>
      </w:tr>
      <w:tr w:rsidR="00456163">
        <w:tblPrEx>
          <w:tblCellMar>
            <w:top w:w="0" w:type="dxa"/>
            <w:bottom w:w="0" w:type="dxa"/>
          </w:tblCellMar>
        </w:tblPrEx>
        <w:tc>
          <w:tcPr>
            <w:tcW w:w="4017" w:type="dxa"/>
          </w:tcPr>
          <w:p w:rsidR="00456163" w:rsidRDefault="00000000">
            <w:pPr>
              <w:spacing w:after="0"/>
            </w:pPr>
            <w:r>
              <w:rPr>
                <w:rFonts w:ascii="Lato"/>
              </w:rPr>
              <w:t>Gov. Code 12950.1</w:t>
            </w:r>
          </w:p>
        </w:tc>
        <w:tc>
          <w:tcPr>
            <w:tcW w:w="5961" w:type="dxa"/>
          </w:tcPr>
          <w:p w:rsidR="00456163" w:rsidRDefault="00000000">
            <w:hyperlink r:id="rId11" w:docLocation="https://leginfo.legislature.ca.gov/faces/codes_displaySection.xhtml?lawCode=GOV&amp;sectionNum=12950.1.">
              <w:r>
                <w:rPr>
                  <w:rFonts w:ascii="Lato"/>
                  <w:color w:val="0563C1" w:themeColor="hyperlink"/>
                  <w:u w:val="single"/>
                </w:rPr>
                <w:t>Sexual harassment training</w:t>
              </w:r>
            </w:hyperlink>
          </w:p>
        </w:tc>
      </w:tr>
      <w:tr w:rsidR="00456163">
        <w:tblPrEx>
          <w:tblCellMar>
            <w:top w:w="0" w:type="dxa"/>
            <w:bottom w:w="0" w:type="dxa"/>
          </w:tblCellMar>
        </w:tblPrEx>
        <w:tc>
          <w:tcPr>
            <w:tcW w:w="4017" w:type="dxa"/>
          </w:tcPr>
          <w:p w:rsidR="00456163" w:rsidRDefault="00000000">
            <w:pPr>
              <w:spacing w:after="0"/>
            </w:pPr>
            <w:r>
              <w:rPr>
                <w:rFonts w:ascii="Lato Black"/>
                <w:b/>
              </w:rPr>
              <w:t>Federal</w:t>
            </w:r>
          </w:p>
        </w:tc>
        <w:tc>
          <w:tcPr>
            <w:tcW w:w="5961" w:type="dxa"/>
          </w:tcPr>
          <w:p w:rsidR="00456163" w:rsidRDefault="00000000">
            <w:pPr>
              <w:spacing w:after="0"/>
            </w:pPr>
            <w:r>
              <w:rPr>
                <w:rFonts w:ascii="Lato Black"/>
                <w:b/>
              </w:rPr>
              <w:t>Description</w:t>
            </w:r>
          </w:p>
        </w:tc>
      </w:tr>
      <w:tr w:rsidR="00456163">
        <w:tblPrEx>
          <w:tblCellMar>
            <w:top w:w="0" w:type="dxa"/>
            <w:bottom w:w="0" w:type="dxa"/>
          </w:tblCellMar>
        </w:tblPrEx>
        <w:tc>
          <w:tcPr>
            <w:tcW w:w="4017" w:type="dxa"/>
          </w:tcPr>
          <w:p w:rsidR="00456163" w:rsidRDefault="00000000">
            <w:pPr>
              <w:spacing w:after="0"/>
            </w:pPr>
            <w:r>
              <w:rPr>
                <w:rFonts w:ascii="Lato"/>
              </w:rPr>
              <w:t>20 USC 1092</w:t>
            </w:r>
          </w:p>
        </w:tc>
        <w:tc>
          <w:tcPr>
            <w:tcW w:w="5961" w:type="dxa"/>
          </w:tcPr>
          <w:p w:rsidR="00456163" w:rsidRDefault="00000000">
            <w:hyperlink r:id="rId12" w:docLocation="https://uscode.house.gov/view.xhtml?req=(title:20%20section:1092%20edition:prelim)%20OR%20(granuleid:USC-prelim-title20-section1092)&amp;f=treesort&amp;edition=prelim&amp;num=0&amp;jumpTo=true">
              <w:r>
                <w:rPr>
                  <w:rFonts w:ascii="Lato"/>
                  <w:color w:val="0563C1" w:themeColor="hyperlink"/>
                  <w:u w:val="single"/>
                </w:rPr>
                <w:t>Definition of sexual assault</w:t>
              </w:r>
            </w:hyperlink>
          </w:p>
        </w:tc>
      </w:tr>
      <w:tr w:rsidR="00456163">
        <w:tblPrEx>
          <w:tblCellMar>
            <w:top w:w="0" w:type="dxa"/>
            <w:bottom w:w="0" w:type="dxa"/>
          </w:tblCellMar>
        </w:tblPrEx>
        <w:tc>
          <w:tcPr>
            <w:tcW w:w="4017" w:type="dxa"/>
          </w:tcPr>
          <w:p w:rsidR="00456163" w:rsidRDefault="00000000">
            <w:pPr>
              <w:spacing w:after="0"/>
            </w:pPr>
            <w:r>
              <w:rPr>
                <w:rFonts w:ascii="Lato"/>
              </w:rPr>
              <w:t>20 USC 1221</w:t>
            </w:r>
          </w:p>
        </w:tc>
        <w:tc>
          <w:tcPr>
            <w:tcW w:w="5961" w:type="dxa"/>
          </w:tcPr>
          <w:p w:rsidR="00456163" w:rsidRDefault="00000000">
            <w:hyperlink r:id="rId13" w:docLocation="https://uscode.house.gov/view.xhtml?req=(title:20%20section:1221%20edition:prelim)%20OR%20(granuleid:USC-prelim-title20-section1221)&amp;f=treesort&amp;edition=prelim&amp;num=0&amp;jumpTo=true">
              <w:r>
                <w:rPr>
                  <w:rFonts w:ascii="Lato"/>
                  <w:color w:val="0563C1" w:themeColor="hyperlink"/>
                  <w:u w:val="single"/>
                </w:rPr>
                <w:t>Application of laws</w:t>
              </w:r>
            </w:hyperlink>
          </w:p>
        </w:tc>
      </w:tr>
      <w:tr w:rsidR="00456163">
        <w:tblPrEx>
          <w:tblCellMar>
            <w:top w:w="0" w:type="dxa"/>
            <w:bottom w:w="0" w:type="dxa"/>
          </w:tblCellMar>
        </w:tblPrEx>
        <w:tc>
          <w:tcPr>
            <w:tcW w:w="4017" w:type="dxa"/>
          </w:tcPr>
          <w:p w:rsidR="00456163" w:rsidRDefault="00000000">
            <w:pPr>
              <w:spacing w:after="0"/>
            </w:pPr>
            <w:r>
              <w:rPr>
                <w:rFonts w:ascii="Lato"/>
              </w:rPr>
              <w:t>20 USC 1232g</w:t>
            </w:r>
          </w:p>
        </w:tc>
        <w:tc>
          <w:tcPr>
            <w:tcW w:w="5961" w:type="dxa"/>
          </w:tcPr>
          <w:p w:rsidR="00456163" w:rsidRDefault="00000000">
            <w:hyperlink r:id="rId14" w:docLocation="https://uscode.house.gov/view.xhtml?req=(title:20%20section:1232g%20edition:prelim)%20OR%20(granuleid:USC-prelim-title20-section1232g)&amp;f=treesort&amp;edition=prelim&amp;num=0&amp;jumpTo=true">
              <w:r>
                <w:rPr>
                  <w:rFonts w:ascii="Lato"/>
                  <w:color w:val="0563C1" w:themeColor="hyperlink"/>
                  <w:u w:val="single"/>
                </w:rPr>
                <w:t>Family Educational Rights and Privacy Act (FERPA) of 1974</w:t>
              </w:r>
            </w:hyperlink>
          </w:p>
        </w:tc>
      </w:tr>
      <w:tr w:rsidR="00456163">
        <w:tblPrEx>
          <w:tblCellMar>
            <w:top w:w="0" w:type="dxa"/>
            <w:bottom w:w="0" w:type="dxa"/>
          </w:tblCellMar>
        </w:tblPrEx>
        <w:tc>
          <w:tcPr>
            <w:tcW w:w="4017" w:type="dxa"/>
          </w:tcPr>
          <w:p w:rsidR="00456163" w:rsidRDefault="00000000">
            <w:pPr>
              <w:spacing w:after="0"/>
            </w:pPr>
            <w:r>
              <w:rPr>
                <w:rFonts w:ascii="Lato"/>
              </w:rPr>
              <w:t>20 USC 1681-1688</w:t>
            </w:r>
          </w:p>
        </w:tc>
        <w:tc>
          <w:tcPr>
            <w:tcW w:w="5961" w:type="dxa"/>
          </w:tcPr>
          <w:p w:rsidR="00456163" w:rsidRDefault="00000000">
            <w:r>
              <w:rPr>
                <w:rFonts w:ascii="Lato"/>
              </w:rPr>
              <w:t>Title IX of the Education Amendments of 1972; discrimination based on sex</w:t>
            </w:r>
          </w:p>
        </w:tc>
      </w:tr>
      <w:tr w:rsidR="00456163">
        <w:tblPrEx>
          <w:tblCellMar>
            <w:top w:w="0" w:type="dxa"/>
            <w:bottom w:w="0" w:type="dxa"/>
          </w:tblCellMar>
        </w:tblPrEx>
        <w:tc>
          <w:tcPr>
            <w:tcW w:w="4017" w:type="dxa"/>
          </w:tcPr>
          <w:p w:rsidR="00456163" w:rsidRDefault="00000000">
            <w:pPr>
              <w:spacing w:after="0"/>
            </w:pPr>
            <w:r>
              <w:rPr>
                <w:rFonts w:ascii="Lato"/>
              </w:rPr>
              <w:t>34 CFR 106.1-106.82</w:t>
            </w:r>
          </w:p>
        </w:tc>
        <w:tc>
          <w:tcPr>
            <w:tcW w:w="5961" w:type="dxa"/>
          </w:tcPr>
          <w:p w:rsidR="00456163" w:rsidRDefault="00000000">
            <w:hyperlink r:id="rId15" w:docLocation="https://www.ecfr.gov/current/title-34/subtitle-B/chapter-I/part-106">
              <w:r>
                <w:rPr>
                  <w:rFonts w:ascii="Lato"/>
                  <w:color w:val="0563C1" w:themeColor="hyperlink"/>
                  <w:u w:val="single"/>
                </w:rPr>
                <w:t>Nondiscrimination on the basis of sex in education programs or activities</w:t>
              </w:r>
            </w:hyperlink>
          </w:p>
        </w:tc>
      </w:tr>
      <w:tr w:rsidR="00456163">
        <w:tblPrEx>
          <w:tblCellMar>
            <w:top w:w="0" w:type="dxa"/>
            <w:bottom w:w="0" w:type="dxa"/>
          </w:tblCellMar>
        </w:tblPrEx>
        <w:tc>
          <w:tcPr>
            <w:tcW w:w="4017" w:type="dxa"/>
          </w:tcPr>
          <w:p w:rsidR="00456163" w:rsidRDefault="00000000">
            <w:pPr>
              <w:spacing w:after="0"/>
            </w:pPr>
            <w:r>
              <w:rPr>
                <w:rFonts w:ascii="Lato"/>
              </w:rPr>
              <w:t>34 CFR 99.1-99.67</w:t>
            </w:r>
          </w:p>
        </w:tc>
        <w:tc>
          <w:tcPr>
            <w:tcW w:w="5961" w:type="dxa"/>
          </w:tcPr>
          <w:p w:rsidR="00456163" w:rsidRDefault="00000000">
            <w:hyperlink r:id="rId16" w:docLocation="https://www.ecfr.gov/current/title-34/subtitle-A/part-99">
              <w:r>
                <w:rPr>
                  <w:rFonts w:ascii="Lato"/>
                  <w:color w:val="0563C1" w:themeColor="hyperlink"/>
                  <w:u w:val="single"/>
                </w:rPr>
                <w:t>Family Educational Rights and Privacy</w:t>
              </w:r>
            </w:hyperlink>
          </w:p>
        </w:tc>
      </w:tr>
      <w:tr w:rsidR="00456163">
        <w:tblPrEx>
          <w:tblCellMar>
            <w:top w:w="0" w:type="dxa"/>
            <w:bottom w:w="0" w:type="dxa"/>
          </w:tblCellMar>
        </w:tblPrEx>
        <w:tc>
          <w:tcPr>
            <w:tcW w:w="4017" w:type="dxa"/>
          </w:tcPr>
          <w:p w:rsidR="00456163" w:rsidRDefault="00000000">
            <w:pPr>
              <w:spacing w:after="0"/>
            </w:pPr>
            <w:r>
              <w:rPr>
                <w:rFonts w:ascii="Lato"/>
              </w:rPr>
              <w:t>34 USC 12291</w:t>
            </w:r>
          </w:p>
        </w:tc>
        <w:tc>
          <w:tcPr>
            <w:tcW w:w="5961" w:type="dxa"/>
          </w:tcPr>
          <w:p w:rsidR="00456163" w:rsidRDefault="00000000">
            <w:hyperlink r:id="rId17" w:docLocation="https://uscode.house.gov/view.xhtml?req=(title:34%20section:12291%20edition:prelim)%20OR%20(granuleid:USC-prelim-title34-section12291)&amp;f=treesort&amp;edition=prelim&amp;num=0&amp;jumpTo=true">
              <w:r>
                <w:rPr>
                  <w:rFonts w:ascii="Lato"/>
                  <w:color w:val="0563C1" w:themeColor="hyperlink"/>
                  <w:u w:val="single"/>
                </w:rPr>
                <w:t>Definition of dating violence, domestic violence, and stalking</w:t>
              </w:r>
            </w:hyperlink>
          </w:p>
        </w:tc>
      </w:tr>
      <w:tr w:rsidR="00456163">
        <w:tblPrEx>
          <w:tblCellMar>
            <w:top w:w="0" w:type="dxa"/>
            <w:bottom w:w="0" w:type="dxa"/>
          </w:tblCellMar>
        </w:tblPrEx>
        <w:tc>
          <w:tcPr>
            <w:tcW w:w="4017" w:type="dxa"/>
          </w:tcPr>
          <w:p w:rsidR="00456163" w:rsidRDefault="00000000">
            <w:pPr>
              <w:spacing w:after="0"/>
            </w:pPr>
            <w:r>
              <w:rPr>
                <w:rFonts w:ascii="Lato"/>
              </w:rPr>
              <w:t>42 USC 1983</w:t>
            </w:r>
          </w:p>
        </w:tc>
        <w:tc>
          <w:tcPr>
            <w:tcW w:w="5961" w:type="dxa"/>
          </w:tcPr>
          <w:p w:rsidR="00456163" w:rsidRDefault="00000000">
            <w:hyperlink r:id="rId18" w:docLocation="https://uscode.house.gov/view.xhtml?req=(title:42%20section:1983%20edition:prelim)%20OR%20(granuleid:USC-prelim-title42-section1983)&amp;f=treesort&amp;edition=prelim&amp;num=0&amp;jumpTo=true">
              <w:r>
                <w:rPr>
                  <w:rFonts w:ascii="Lato"/>
                  <w:color w:val="0563C1" w:themeColor="hyperlink"/>
                  <w:u w:val="single"/>
                </w:rPr>
                <w:t>Civil action for deprivation of rights</w:t>
              </w:r>
            </w:hyperlink>
          </w:p>
        </w:tc>
      </w:tr>
      <w:tr w:rsidR="00456163">
        <w:tblPrEx>
          <w:tblCellMar>
            <w:top w:w="0" w:type="dxa"/>
            <w:bottom w:w="0" w:type="dxa"/>
          </w:tblCellMar>
        </w:tblPrEx>
        <w:tc>
          <w:tcPr>
            <w:tcW w:w="4017" w:type="dxa"/>
          </w:tcPr>
          <w:p w:rsidR="00456163" w:rsidRDefault="00000000">
            <w:pPr>
              <w:spacing w:after="0"/>
            </w:pPr>
            <w:r>
              <w:rPr>
                <w:rFonts w:ascii="Lato"/>
              </w:rPr>
              <w:t>42 USC 2000d-2000d-7</w:t>
            </w:r>
          </w:p>
        </w:tc>
        <w:tc>
          <w:tcPr>
            <w:tcW w:w="5961" w:type="dxa"/>
          </w:tcPr>
          <w:p w:rsidR="00456163" w:rsidRDefault="00000000">
            <w:r>
              <w:rPr>
                <w:rFonts w:ascii="Lato"/>
              </w:rPr>
              <w:t>Title VI, Civil Rights Act of 1964</w:t>
            </w:r>
          </w:p>
        </w:tc>
      </w:tr>
      <w:tr w:rsidR="00456163">
        <w:tblPrEx>
          <w:tblCellMar>
            <w:top w:w="0" w:type="dxa"/>
            <w:bottom w:w="0" w:type="dxa"/>
          </w:tblCellMar>
        </w:tblPrEx>
        <w:tc>
          <w:tcPr>
            <w:tcW w:w="4017" w:type="dxa"/>
          </w:tcPr>
          <w:p w:rsidR="00456163" w:rsidRDefault="00000000">
            <w:pPr>
              <w:spacing w:after="0"/>
            </w:pPr>
            <w:r>
              <w:rPr>
                <w:rFonts w:ascii="Lato"/>
              </w:rPr>
              <w:t>42 USC 2000e-2000e-17</w:t>
            </w:r>
          </w:p>
        </w:tc>
        <w:tc>
          <w:tcPr>
            <w:tcW w:w="5961" w:type="dxa"/>
          </w:tcPr>
          <w:p w:rsidR="00456163" w:rsidRDefault="00000000">
            <w:r>
              <w:rPr>
                <w:rFonts w:ascii="Lato"/>
              </w:rPr>
              <w:t>Title VII, Civil Rights Act of 1964, as amended</w:t>
            </w:r>
          </w:p>
        </w:tc>
      </w:tr>
      <w:tr w:rsidR="00456163">
        <w:tblPrEx>
          <w:tblCellMar>
            <w:top w:w="0" w:type="dxa"/>
            <w:bottom w:w="0" w:type="dxa"/>
          </w:tblCellMar>
        </w:tblPrEx>
        <w:tc>
          <w:tcPr>
            <w:tcW w:w="4017" w:type="dxa"/>
          </w:tcPr>
          <w:p w:rsidR="00456163" w:rsidRDefault="00000000">
            <w:pPr>
              <w:spacing w:after="0"/>
            </w:pPr>
            <w:r>
              <w:rPr>
                <w:rFonts w:ascii="Lato Black"/>
                <w:b/>
              </w:rPr>
              <w:t>Management Resources</w:t>
            </w:r>
          </w:p>
        </w:tc>
        <w:tc>
          <w:tcPr>
            <w:tcW w:w="5961" w:type="dxa"/>
          </w:tcPr>
          <w:p w:rsidR="00456163" w:rsidRDefault="00000000">
            <w:pPr>
              <w:spacing w:after="0"/>
            </w:pPr>
            <w:r>
              <w:rPr>
                <w:rFonts w:ascii="Lato Black"/>
                <w:b/>
              </w:rPr>
              <w:t>Description</w:t>
            </w:r>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r>
              <w:rPr>
                <w:rFonts w:ascii="Lato"/>
              </w:rPr>
              <w:t>Tennessee v. Cardona (2024) 737 F.Supp.3d 510</w:t>
            </w:r>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19" w:docLocation="https://law.justia.com/cases/">
              <w:r>
                <w:rPr>
                  <w:rFonts w:ascii="Lato"/>
                  <w:color w:val="0563C1" w:themeColor="hyperlink"/>
                  <w:u w:val="single"/>
                </w:rPr>
                <w:t>Reese v. Jefferson School District (2001, 9th Cir.) 208 F.3d 736</w:t>
              </w:r>
            </w:hyperlink>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20" w:docLocation="https://law.justia.com/cases/">
              <w:r>
                <w:rPr>
                  <w:rFonts w:ascii="Lato"/>
                  <w:color w:val="0563C1" w:themeColor="hyperlink"/>
                  <w:u w:val="single"/>
                </w:rPr>
                <w:t>Davis v. Monroe County Board of Education (1999) 526 U.S. 629</w:t>
              </w:r>
            </w:hyperlink>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21" w:docLocation="https://law.justia.com/cases/">
              <w:r>
                <w:rPr>
                  <w:rFonts w:ascii="Lato"/>
                  <w:color w:val="0563C1" w:themeColor="hyperlink"/>
                  <w:u w:val="single"/>
                </w:rPr>
                <w:t xml:space="preserve">Gebser v. Lago Vista Independent School District (1998) </w:t>
              </w:r>
              <w:r>
                <w:rPr>
                  <w:rFonts w:ascii="Lato"/>
                  <w:color w:val="0563C1" w:themeColor="hyperlink"/>
                  <w:u w:val="single"/>
                </w:rPr>
                <w:lastRenderedPageBreak/>
                <w:t>524 U.S. 274</w:t>
              </w:r>
            </w:hyperlink>
          </w:p>
        </w:tc>
      </w:tr>
      <w:tr w:rsidR="00456163">
        <w:tblPrEx>
          <w:tblCellMar>
            <w:top w:w="0" w:type="dxa"/>
            <w:bottom w:w="0" w:type="dxa"/>
          </w:tblCellMar>
        </w:tblPrEx>
        <w:tc>
          <w:tcPr>
            <w:tcW w:w="4017" w:type="dxa"/>
          </w:tcPr>
          <w:p w:rsidR="00456163" w:rsidRDefault="00000000">
            <w:pPr>
              <w:spacing w:after="0"/>
            </w:pPr>
            <w:r>
              <w:rPr>
                <w:rFonts w:ascii="Lato"/>
              </w:rPr>
              <w:lastRenderedPageBreak/>
              <w:t>Court Decision</w:t>
            </w:r>
          </w:p>
        </w:tc>
        <w:tc>
          <w:tcPr>
            <w:tcW w:w="5961" w:type="dxa"/>
          </w:tcPr>
          <w:p w:rsidR="00456163" w:rsidRDefault="00000000">
            <w:hyperlink r:id="rId22" w:docLocation="https://law.justia.com/cases/">
              <w:r>
                <w:rPr>
                  <w:rFonts w:ascii="Lato"/>
                  <w:color w:val="0563C1" w:themeColor="hyperlink"/>
                  <w:u w:val="single"/>
                </w:rPr>
                <w:t>Oona by Kate S. v. McCaffrey (1998, 9th Cir.) 143 F.3d 473</w:t>
              </w:r>
            </w:hyperlink>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23" w:docLocation="https://law.justia.com/cases/">
              <w:r>
                <w:rPr>
                  <w:rFonts w:ascii="Lato"/>
                  <w:color w:val="0563C1" w:themeColor="hyperlink"/>
                  <w:u w:val="single"/>
                </w:rPr>
                <w:t>Doe v. Petaluma City School District (1995, 9th Cir.) 54 F.3d 1447</w:t>
              </w:r>
            </w:hyperlink>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24" w:docLocation="https://www.lexisnexis.com/clients/CACourts/">
              <w:r>
                <w:rPr>
                  <w:rFonts w:ascii="Lato"/>
                  <w:color w:val="0563C1" w:themeColor="hyperlink"/>
                  <w:u w:val="single"/>
                </w:rPr>
                <w:t>Donovan v. Poway Unified School District (2008) 167 Cal.App.4th 567</w:t>
              </w:r>
            </w:hyperlink>
          </w:p>
        </w:tc>
      </w:tr>
      <w:tr w:rsidR="00456163">
        <w:tblPrEx>
          <w:tblCellMar>
            <w:top w:w="0" w:type="dxa"/>
            <w:bottom w:w="0" w:type="dxa"/>
          </w:tblCellMar>
        </w:tblPrEx>
        <w:tc>
          <w:tcPr>
            <w:tcW w:w="4017" w:type="dxa"/>
          </w:tcPr>
          <w:p w:rsidR="00456163" w:rsidRDefault="00000000">
            <w:pPr>
              <w:spacing w:after="0"/>
            </w:pPr>
            <w:r>
              <w:rPr>
                <w:rFonts w:ascii="Lato"/>
              </w:rPr>
              <w:t>Court Decision</w:t>
            </w:r>
          </w:p>
        </w:tc>
        <w:tc>
          <w:tcPr>
            <w:tcW w:w="5961" w:type="dxa"/>
          </w:tcPr>
          <w:p w:rsidR="00456163" w:rsidRDefault="00000000">
            <w:hyperlink r:id="rId25" w:docLocation="https://law.justia.com/cases/">
              <w:r>
                <w:rPr>
                  <w:rFonts w:ascii="Lato"/>
                  <w:color w:val="0563C1" w:themeColor="hyperlink"/>
                  <w:u w:val="single"/>
                </w:rPr>
                <w:t>Flores v. Morgan Hill Unified School District (2003, 9th Cir.) 324 F.3d 1130</w:t>
              </w:r>
            </w:hyperlink>
          </w:p>
        </w:tc>
      </w:tr>
      <w:tr w:rsidR="00456163">
        <w:tblPrEx>
          <w:tblCellMar>
            <w:top w:w="0" w:type="dxa"/>
            <w:bottom w:w="0" w:type="dxa"/>
          </w:tblCellMar>
        </w:tblPrEx>
        <w:tc>
          <w:tcPr>
            <w:tcW w:w="4017" w:type="dxa"/>
          </w:tcPr>
          <w:p w:rsidR="00456163" w:rsidRDefault="00000000">
            <w:pPr>
              <w:spacing w:after="0"/>
            </w:pPr>
            <w:r>
              <w:rPr>
                <w:rFonts w:ascii="Lato"/>
              </w:rPr>
              <w:t>Federal Register</w:t>
            </w:r>
          </w:p>
        </w:tc>
        <w:tc>
          <w:tcPr>
            <w:tcW w:w="5961" w:type="dxa"/>
          </w:tcPr>
          <w:p w:rsidR="00456163" w:rsidRDefault="00000000">
            <w:hyperlink r:id="rId26" w:docLocation="https://www.federalregister.gov/documents/2020/05/19/2020-10512/nondiscrimination-on-the-basis-of-sex-in-education-programs-or-activities-receiving-federal">
              <w:r>
                <w:rPr>
                  <w:rFonts w:ascii="Lato"/>
                  <w:color w:val="0563C1" w:themeColor="hyperlink"/>
                  <w:u w:val="single"/>
                </w:rPr>
                <w:t>Nondiscrimination on the Basis of Sex in Education Programs or Activities Receiving Federal Financial Assistance, May 19, 2020, Vol. 85, No. 97, pages 30026-30579</w:t>
              </w:r>
            </w:hyperlink>
          </w:p>
        </w:tc>
      </w:tr>
      <w:tr w:rsidR="00456163">
        <w:tblPrEx>
          <w:tblCellMar>
            <w:top w:w="0" w:type="dxa"/>
            <w:bottom w:w="0" w:type="dxa"/>
          </w:tblCellMar>
        </w:tblPrEx>
        <w:tc>
          <w:tcPr>
            <w:tcW w:w="4017" w:type="dxa"/>
          </w:tcPr>
          <w:p w:rsidR="00456163" w:rsidRDefault="00000000">
            <w:pPr>
              <w:spacing w:after="0"/>
            </w:pPr>
            <w:r>
              <w:rPr>
                <w:rFonts w:ascii="Lato"/>
              </w:rPr>
              <w:t>U.S. DOE, Office for Civil Rights Publication</w:t>
            </w:r>
          </w:p>
        </w:tc>
        <w:tc>
          <w:tcPr>
            <w:tcW w:w="5961" w:type="dxa"/>
          </w:tcPr>
          <w:p w:rsidR="00456163" w:rsidRDefault="00000000">
            <w:hyperlink r:id="rId27" w:docLocation="https://www.ed.gov/media/document/title-ix-enforcement-directive-dcl-109477.pdf">
              <w:r>
                <w:rPr>
                  <w:rFonts w:ascii="Lato"/>
                  <w:color w:val="0563C1" w:themeColor="hyperlink"/>
                  <w:u w:val="single"/>
                </w:rPr>
                <w:t>Dear Colleague Letter: Enforcement of Title IX under the provisions of the 2020 Title IX Rule, February 4, 2025</w:t>
              </w:r>
            </w:hyperlink>
          </w:p>
        </w:tc>
      </w:tr>
      <w:tr w:rsidR="00456163">
        <w:tblPrEx>
          <w:tblCellMar>
            <w:top w:w="0" w:type="dxa"/>
            <w:bottom w:w="0" w:type="dxa"/>
          </w:tblCellMar>
        </w:tblPrEx>
        <w:tc>
          <w:tcPr>
            <w:tcW w:w="4017" w:type="dxa"/>
          </w:tcPr>
          <w:p w:rsidR="00456163" w:rsidRDefault="00000000">
            <w:pPr>
              <w:spacing w:after="0"/>
            </w:pPr>
            <w:r>
              <w:rPr>
                <w:rFonts w:ascii="Lato"/>
              </w:rPr>
              <w:t>U.S. DOJ, FBI Publication</w:t>
            </w:r>
          </w:p>
        </w:tc>
        <w:tc>
          <w:tcPr>
            <w:tcW w:w="5961" w:type="dxa"/>
          </w:tcPr>
          <w:p w:rsidR="00456163" w:rsidRDefault="00000000">
            <w:hyperlink r:id="rId28" w:docLocation="https://ucr.fbi.gov/nibrs/2018/resource-pages/nibrs_offense_definitions-2018.pdf">
              <w:r>
                <w:rPr>
                  <w:rFonts w:ascii="Lato"/>
                  <w:color w:val="0563C1" w:themeColor="hyperlink"/>
                  <w:u w:val="single"/>
                </w:rPr>
                <w:t>National Incident-Based Reporting System</w:t>
              </w:r>
            </w:hyperlink>
          </w:p>
        </w:tc>
      </w:tr>
      <w:tr w:rsidR="00456163">
        <w:tblPrEx>
          <w:tblCellMar>
            <w:top w:w="0" w:type="dxa"/>
            <w:bottom w:w="0" w:type="dxa"/>
          </w:tblCellMar>
        </w:tblPrEx>
        <w:tc>
          <w:tcPr>
            <w:tcW w:w="4017" w:type="dxa"/>
          </w:tcPr>
          <w:p w:rsidR="00456163" w:rsidRDefault="00000000">
            <w:pPr>
              <w:spacing w:after="0"/>
            </w:pPr>
            <w:r>
              <w:rPr>
                <w:rFonts w:ascii="Lato"/>
              </w:rPr>
              <w:t>Website</w:t>
            </w:r>
          </w:p>
        </w:tc>
        <w:tc>
          <w:tcPr>
            <w:tcW w:w="5961" w:type="dxa"/>
          </w:tcPr>
          <w:p w:rsidR="00456163" w:rsidRDefault="00000000">
            <w:hyperlink r:id="rId29" w:docLocation="https://www.justice.gov/doj/federal-bureau-investigation">
              <w:r>
                <w:rPr>
                  <w:rFonts w:ascii="Lato"/>
                  <w:color w:val="0563C1" w:themeColor="hyperlink"/>
                  <w:u w:val="single"/>
                </w:rPr>
                <w:t>U.S. Department of Justice, Federal Bureau of Investigation</w:t>
              </w:r>
            </w:hyperlink>
          </w:p>
        </w:tc>
      </w:tr>
      <w:tr w:rsidR="00456163">
        <w:tblPrEx>
          <w:tblCellMar>
            <w:top w:w="0" w:type="dxa"/>
            <w:bottom w:w="0" w:type="dxa"/>
          </w:tblCellMar>
        </w:tblPrEx>
        <w:tc>
          <w:tcPr>
            <w:tcW w:w="4017" w:type="dxa"/>
          </w:tcPr>
          <w:p w:rsidR="00456163" w:rsidRDefault="00000000">
            <w:pPr>
              <w:spacing w:after="0"/>
            </w:pPr>
            <w:r>
              <w:rPr>
                <w:rFonts w:ascii="Lato"/>
              </w:rPr>
              <w:t>Website</w:t>
            </w:r>
          </w:p>
        </w:tc>
        <w:tc>
          <w:tcPr>
            <w:tcW w:w="5961" w:type="dxa"/>
          </w:tcPr>
          <w:p w:rsidR="00456163" w:rsidRDefault="00000000">
            <w:hyperlink r:id="rId30" w:docLocation="https://legalservices.csba.org/">
              <w:r>
                <w:rPr>
                  <w:rFonts w:ascii="Lato"/>
                  <w:color w:val="0563C1" w:themeColor="hyperlink"/>
                  <w:u w:val="single"/>
                </w:rPr>
                <w:t>CSBA District and County Office of Education Legal Services</w:t>
              </w:r>
            </w:hyperlink>
          </w:p>
        </w:tc>
      </w:tr>
      <w:tr w:rsidR="00456163">
        <w:tblPrEx>
          <w:tblCellMar>
            <w:top w:w="0" w:type="dxa"/>
            <w:bottom w:w="0" w:type="dxa"/>
          </w:tblCellMar>
        </w:tblPrEx>
        <w:tc>
          <w:tcPr>
            <w:tcW w:w="4017" w:type="dxa"/>
          </w:tcPr>
          <w:p w:rsidR="00456163" w:rsidRDefault="00000000">
            <w:pPr>
              <w:spacing w:after="0"/>
            </w:pPr>
            <w:r>
              <w:rPr>
                <w:rFonts w:ascii="Lato"/>
              </w:rPr>
              <w:t>Website</w:t>
            </w:r>
          </w:p>
        </w:tc>
        <w:tc>
          <w:tcPr>
            <w:tcW w:w="5961" w:type="dxa"/>
          </w:tcPr>
          <w:p w:rsidR="00456163" w:rsidRDefault="00000000">
            <w:hyperlink r:id="rId31" w:docLocation="http://www.csba.org">
              <w:r>
                <w:rPr>
                  <w:rFonts w:ascii="Lato"/>
                  <w:color w:val="0563C1" w:themeColor="hyperlink"/>
                  <w:u w:val="single"/>
                </w:rPr>
                <w:t>CSBA</w:t>
              </w:r>
            </w:hyperlink>
          </w:p>
        </w:tc>
      </w:tr>
      <w:tr w:rsidR="00456163">
        <w:tblPrEx>
          <w:tblCellMar>
            <w:top w:w="0" w:type="dxa"/>
            <w:bottom w:w="0" w:type="dxa"/>
          </w:tblCellMar>
        </w:tblPrEx>
        <w:tc>
          <w:tcPr>
            <w:tcW w:w="4017" w:type="dxa"/>
          </w:tcPr>
          <w:p w:rsidR="00456163" w:rsidRDefault="00000000">
            <w:pPr>
              <w:spacing w:after="0"/>
            </w:pPr>
            <w:r>
              <w:rPr>
                <w:rFonts w:ascii="Lato"/>
              </w:rPr>
              <w:t>Website</w:t>
            </w:r>
          </w:p>
        </w:tc>
        <w:tc>
          <w:tcPr>
            <w:tcW w:w="5961" w:type="dxa"/>
          </w:tcPr>
          <w:p w:rsidR="00456163" w:rsidRDefault="00000000">
            <w:hyperlink r:id="rId32" w:docLocation="http://www.cde.ca.gov">
              <w:r>
                <w:rPr>
                  <w:rFonts w:ascii="Lato"/>
                  <w:color w:val="0563C1" w:themeColor="hyperlink"/>
                  <w:u w:val="single"/>
                </w:rPr>
                <w:t>California Department of Education</w:t>
              </w:r>
            </w:hyperlink>
          </w:p>
        </w:tc>
      </w:tr>
      <w:tr w:rsidR="00456163">
        <w:tblPrEx>
          <w:tblCellMar>
            <w:top w:w="0" w:type="dxa"/>
            <w:bottom w:w="0" w:type="dxa"/>
          </w:tblCellMar>
        </w:tblPrEx>
        <w:tc>
          <w:tcPr>
            <w:tcW w:w="4017" w:type="dxa"/>
          </w:tcPr>
          <w:p w:rsidR="00456163" w:rsidRDefault="00000000">
            <w:pPr>
              <w:spacing w:after="0"/>
            </w:pPr>
            <w:r>
              <w:rPr>
                <w:rFonts w:ascii="Lato"/>
              </w:rPr>
              <w:t>Website</w:t>
            </w:r>
          </w:p>
        </w:tc>
        <w:tc>
          <w:tcPr>
            <w:tcW w:w="5961" w:type="dxa"/>
          </w:tcPr>
          <w:p w:rsidR="00456163" w:rsidRDefault="00000000">
            <w:hyperlink r:id="rId33" w:docLocation="http://www2.ed.gov/ocr">
              <w:r>
                <w:rPr>
                  <w:rFonts w:ascii="Lato"/>
                  <w:color w:val="0563C1" w:themeColor="hyperlink"/>
                  <w:u w:val="single"/>
                </w:rPr>
                <w:t>U.S. Department of Education, Office for Civil Rights</w:t>
              </w:r>
            </w:hyperlink>
          </w:p>
        </w:tc>
      </w:tr>
    </w:tbl>
    <w:p w:rsidR="00000000" w:rsidRDefault="00000000">
      <w:pPr>
        <w:shd w:val="clear" w:color="auto" w:fill="F9F9F9"/>
        <w:spacing w:line="480" w:lineRule="auto"/>
        <w:divId w:val="897285501"/>
        <w:rPr>
          <w:rFonts w:ascii="Lato Black" w:eastAsia="Times New Roman" w:hAnsi="Lato Black"/>
          <w:b/>
          <w:bCs/>
          <w:kern w:val="0"/>
          <w:sz w:val="22"/>
          <w:szCs w:val="22"/>
          <w14:ligatures w14:val="none"/>
        </w:rPr>
      </w:pPr>
      <w:r>
        <w:rPr>
          <w:rFonts w:ascii="Lato Black" w:eastAsia="Times New Roman" w:hAnsi="Lato Black"/>
          <w:b/>
          <w:bCs/>
          <w:sz w:val="22"/>
          <w:szCs w:val="22"/>
        </w:rPr>
        <w:t>Cross References</w:t>
      </w:r>
    </w:p>
    <w:tbl>
      <w:tblPr>
        <w:tblW w:w="9993" w:type="dxa"/>
        <w:tblInd w:w="10" w:type="dxa"/>
        <w:tblCellMar>
          <w:left w:w="10" w:type="dxa"/>
          <w:right w:w="10" w:type="dxa"/>
        </w:tblCellMar>
        <w:tblLook w:val="04A0" w:firstRow="1" w:lastRow="0" w:firstColumn="1" w:lastColumn="0" w:noHBand="0" w:noVBand="1"/>
      </w:tblPr>
      <w:tblGrid>
        <w:gridCol w:w="4023"/>
        <w:gridCol w:w="5970"/>
      </w:tblGrid>
      <w:tr w:rsidR="00456163">
        <w:tblPrEx>
          <w:tblCellMar>
            <w:top w:w="0" w:type="dxa"/>
            <w:bottom w:w="0" w:type="dxa"/>
          </w:tblCellMar>
        </w:tblPrEx>
        <w:tc>
          <w:tcPr>
            <w:tcW w:w="4017" w:type="dxa"/>
          </w:tcPr>
          <w:p w:rsidR="00456163" w:rsidRDefault="00000000">
            <w:pPr>
              <w:spacing w:after="0"/>
            </w:pPr>
            <w:r>
              <w:rPr>
                <w:rFonts w:ascii="Lato Black"/>
                <w:b/>
              </w:rPr>
              <w:t>Code</w:t>
            </w:r>
          </w:p>
        </w:tc>
        <w:tc>
          <w:tcPr>
            <w:tcW w:w="5961" w:type="dxa"/>
          </w:tcPr>
          <w:p w:rsidR="00456163" w:rsidRDefault="00000000">
            <w:pPr>
              <w:spacing w:after="0"/>
            </w:pPr>
            <w:r>
              <w:rPr>
                <w:rFonts w:ascii="Lato Black"/>
                <w:b/>
              </w:rPr>
              <w:t>Description</w:t>
            </w:r>
          </w:p>
        </w:tc>
      </w:tr>
      <w:tr w:rsidR="00456163">
        <w:tblPrEx>
          <w:tblCellMar>
            <w:top w:w="0" w:type="dxa"/>
            <w:bottom w:w="0" w:type="dxa"/>
          </w:tblCellMar>
        </w:tblPrEx>
        <w:tc>
          <w:tcPr>
            <w:tcW w:w="4017" w:type="dxa"/>
          </w:tcPr>
          <w:p w:rsidR="00456163" w:rsidRDefault="00000000">
            <w:pPr>
              <w:spacing w:after="0"/>
            </w:pPr>
            <w:r>
              <w:rPr>
                <w:rFonts w:ascii="Lato"/>
              </w:rPr>
              <w:t>0410</w:t>
            </w:r>
          </w:p>
        </w:tc>
        <w:tc>
          <w:tcPr>
            <w:tcW w:w="5961" w:type="dxa"/>
          </w:tcPr>
          <w:p w:rsidR="00456163" w:rsidRDefault="00000000">
            <w:hyperlink r:id="rId34" w:docLocation="https://simbli.eboardsolutions.com/Policy/ViewPolicy.aspx?S=36031525&amp;revid=plusTxlgZXT4cqHVwzrBgp84A==">
              <w:r>
                <w:rPr>
                  <w:rFonts w:ascii="Lato"/>
                  <w:color w:val="0563C1" w:themeColor="hyperlink"/>
                  <w:u w:val="single"/>
                </w:rPr>
                <w:t>Nondiscrimination In District Programs And Activities</w:t>
              </w:r>
            </w:hyperlink>
          </w:p>
        </w:tc>
      </w:tr>
      <w:tr w:rsidR="00456163">
        <w:tblPrEx>
          <w:tblCellMar>
            <w:top w:w="0" w:type="dxa"/>
            <w:bottom w:w="0" w:type="dxa"/>
          </w:tblCellMar>
        </w:tblPrEx>
        <w:tc>
          <w:tcPr>
            <w:tcW w:w="4017" w:type="dxa"/>
          </w:tcPr>
          <w:p w:rsidR="00456163" w:rsidRDefault="00000000">
            <w:pPr>
              <w:spacing w:after="0"/>
            </w:pPr>
            <w:r>
              <w:rPr>
                <w:rFonts w:ascii="Lato"/>
              </w:rPr>
              <w:t>1312.3</w:t>
            </w:r>
          </w:p>
        </w:tc>
        <w:tc>
          <w:tcPr>
            <w:tcW w:w="5961" w:type="dxa"/>
          </w:tcPr>
          <w:p w:rsidR="00456163" w:rsidRDefault="00000000">
            <w:hyperlink r:id="rId35" w:docLocation="https://simbli.eboardsolutions.com/Policy/ViewPolicy.aspx?S=36031525&amp;revid=8z21TS2PQkcBmCE2TslshAwOw==">
              <w:r>
                <w:rPr>
                  <w:rFonts w:ascii="Lato"/>
                  <w:color w:val="0563C1" w:themeColor="hyperlink"/>
                  <w:u w:val="single"/>
                </w:rPr>
                <w:t>Uniform Complaint Procedures</w:t>
              </w:r>
            </w:hyperlink>
          </w:p>
        </w:tc>
      </w:tr>
      <w:tr w:rsidR="00456163">
        <w:tblPrEx>
          <w:tblCellMar>
            <w:top w:w="0" w:type="dxa"/>
            <w:bottom w:w="0" w:type="dxa"/>
          </w:tblCellMar>
        </w:tblPrEx>
        <w:tc>
          <w:tcPr>
            <w:tcW w:w="4017" w:type="dxa"/>
          </w:tcPr>
          <w:p w:rsidR="00456163" w:rsidRDefault="00000000">
            <w:pPr>
              <w:spacing w:after="0"/>
            </w:pPr>
            <w:r>
              <w:rPr>
                <w:rFonts w:ascii="Lato"/>
              </w:rPr>
              <w:t>3580</w:t>
            </w:r>
          </w:p>
        </w:tc>
        <w:tc>
          <w:tcPr>
            <w:tcW w:w="5961" w:type="dxa"/>
          </w:tcPr>
          <w:p w:rsidR="00456163" w:rsidRDefault="00000000">
            <w:hyperlink r:id="rId36" w:docLocation="https://simbli.eboardsolutions.com/Policy/ViewPolicy.aspx?S=36031525&amp;revid=0h1trvtzBPrCXWg1vgrmfA==">
              <w:r>
                <w:rPr>
                  <w:rFonts w:ascii="Lato"/>
                  <w:color w:val="0563C1" w:themeColor="hyperlink"/>
                  <w:u w:val="single"/>
                </w:rPr>
                <w:t>District Records</w:t>
              </w:r>
            </w:hyperlink>
          </w:p>
        </w:tc>
      </w:tr>
      <w:tr w:rsidR="00456163">
        <w:tblPrEx>
          <w:tblCellMar>
            <w:top w:w="0" w:type="dxa"/>
            <w:bottom w:w="0" w:type="dxa"/>
          </w:tblCellMar>
        </w:tblPrEx>
        <w:tc>
          <w:tcPr>
            <w:tcW w:w="4017" w:type="dxa"/>
          </w:tcPr>
          <w:p w:rsidR="00456163" w:rsidRDefault="00000000">
            <w:pPr>
              <w:spacing w:after="0"/>
            </w:pPr>
            <w:r>
              <w:rPr>
                <w:rFonts w:ascii="Lato"/>
              </w:rPr>
              <w:t>3580</w:t>
            </w:r>
          </w:p>
        </w:tc>
        <w:tc>
          <w:tcPr>
            <w:tcW w:w="5961" w:type="dxa"/>
          </w:tcPr>
          <w:p w:rsidR="00456163" w:rsidRDefault="00000000">
            <w:hyperlink r:id="rId37" w:docLocation="https://simbli.eboardsolutions.com/Policy/ViewPolicy.aspx?S=36031525&amp;revid=aDODQOXr7eUVG6pZKIdIag==">
              <w:r>
                <w:rPr>
                  <w:rFonts w:ascii="Lato"/>
                  <w:color w:val="0563C1" w:themeColor="hyperlink"/>
                  <w:u w:val="single"/>
                </w:rPr>
                <w:t>District Records</w:t>
              </w:r>
            </w:hyperlink>
          </w:p>
        </w:tc>
      </w:tr>
      <w:tr w:rsidR="00456163">
        <w:tblPrEx>
          <w:tblCellMar>
            <w:top w:w="0" w:type="dxa"/>
            <w:bottom w:w="0" w:type="dxa"/>
          </w:tblCellMar>
        </w:tblPrEx>
        <w:tc>
          <w:tcPr>
            <w:tcW w:w="4017" w:type="dxa"/>
          </w:tcPr>
          <w:p w:rsidR="00456163" w:rsidRDefault="00000000">
            <w:pPr>
              <w:spacing w:after="0"/>
            </w:pPr>
            <w:r>
              <w:rPr>
                <w:rFonts w:ascii="Lato"/>
              </w:rPr>
              <w:t>4030</w:t>
            </w:r>
          </w:p>
        </w:tc>
        <w:tc>
          <w:tcPr>
            <w:tcW w:w="5961" w:type="dxa"/>
          </w:tcPr>
          <w:p w:rsidR="00456163" w:rsidRDefault="00000000">
            <w:hyperlink r:id="rId38" w:docLocation="https://simbli.eboardsolutions.com/Policy/ViewPolicy.aspx?S=36031525&amp;revid=3sFLnxm80H5pPNFVH7Cplus4g==">
              <w:r>
                <w:rPr>
                  <w:rFonts w:ascii="Lato"/>
                  <w:color w:val="0563C1" w:themeColor="hyperlink"/>
                  <w:u w:val="single"/>
                </w:rPr>
                <w:t>Nondiscrimination In Employment</w:t>
              </w:r>
            </w:hyperlink>
          </w:p>
        </w:tc>
      </w:tr>
      <w:tr w:rsidR="00456163">
        <w:tblPrEx>
          <w:tblCellMar>
            <w:top w:w="0" w:type="dxa"/>
            <w:bottom w:w="0" w:type="dxa"/>
          </w:tblCellMar>
        </w:tblPrEx>
        <w:tc>
          <w:tcPr>
            <w:tcW w:w="4017" w:type="dxa"/>
          </w:tcPr>
          <w:p w:rsidR="00456163" w:rsidRDefault="00000000">
            <w:pPr>
              <w:spacing w:after="0"/>
            </w:pPr>
            <w:r>
              <w:rPr>
                <w:rFonts w:ascii="Lato"/>
              </w:rPr>
              <w:t>4030</w:t>
            </w:r>
          </w:p>
        </w:tc>
        <w:tc>
          <w:tcPr>
            <w:tcW w:w="5961" w:type="dxa"/>
          </w:tcPr>
          <w:p w:rsidR="00456163" w:rsidRDefault="00000000">
            <w:hyperlink r:id="rId39" w:docLocation="https://simbli.eboardsolutions.com/Policy/ViewPolicy.aspx?S=36031525&amp;revid=EqZX9tN0pslshDYanA9XR8jng==">
              <w:r>
                <w:rPr>
                  <w:rFonts w:ascii="Lato"/>
                  <w:color w:val="0563C1" w:themeColor="hyperlink"/>
                  <w:u w:val="single"/>
                </w:rPr>
                <w:t>Nondiscrimination In Employment</w:t>
              </w:r>
            </w:hyperlink>
          </w:p>
        </w:tc>
      </w:tr>
      <w:tr w:rsidR="00456163">
        <w:tblPrEx>
          <w:tblCellMar>
            <w:top w:w="0" w:type="dxa"/>
            <w:bottom w:w="0" w:type="dxa"/>
          </w:tblCellMar>
        </w:tblPrEx>
        <w:tc>
          <w:tcPr>
            <w:tcW w:w="4017" w:type="dxa"/>
          </w:tcPr>
          <w:p w:rsidR="00456163" w:rsidRDefault="00000000">
            <w:pPr>
              <w:spacing w:after="0"/>
            </w:pPr>
            <w:r>
              <w:rPr>
                <w:rFonts w:ascii="Lato"/>
              </w:rPr>
              <w:t>4033</w:t>
            </w:r>
          </w:p>
        </w:tc>
        <w:tc>
          <w:tcPr>
            <w:tcW w:w="5961" w:type="dxa"/>
          </w:tcPr>
          <w:p w:rsidR="00456163" w:rsidRDefault="00000000">
            <w:hyperlink r:id="rId40" w:docLocation="https://simbli.eboardsolutions.com/Policy/ViewPolicy.aspx?S=36031525&amp;revid=Vkf2Snak0cgAplusmLxFNekeA==">
              <w:r>
                <w:rPr>
                  <w:rFonts w:ascii="Lato"/>
                  <w:color w:val="0563C1" w:themeColor="hyperlink"/>
                  <w:u w:val="single"/>
                </w:rPr>
                <w:t>Lactation Accommodation</w:t>
              </w:r>
            </w:hyperlink>
          </w:p>
        </w:tc>
      </w:tr>
      <w:tr w:rsidR="00456163">
        <w:tblPrEx>
          <w:tblCellMar>
            <w:top w:w="0" w:type="dxa"/>
            <w:bottom w:w="0" w:type="dxa"/>
          </w:tblCellMar>
        </w:tblPrEx>
        <w:tc>
          <w:tcPr>
            <w:tcW w:w="4017" w:type="dxa"/>
          </w:tcPr>
          <w:p w:rsidR="00456163" w:rsidRDefault="00000000">
            <w:pPr>
              <w:spacing w:after="0"/>
            </w:pPr>
            <w:r>
              <w:rPr>
                <w:rFonts w:ascii="Lato"/>
              </w:rPr>
              <w:lastRenderedPageBreak/>
              <w:t>4119.11</w:t>
            </w:r>
          </w:p>
        </w:tc>
        <w:tc>
          <w:tcPr>
            <w:tcW w:w="5961" w:type="dxa"/>
          </w:tcPr>
          <w:p w:rsidR="00456163" w:rsidRDefault="00000000">
            <w:hyperlink r:id="rId41" w:docLocation="https://simbli.eboardsolutions.com/Policy/ViewPolicy.aspx?S=36031525&amp;revid=DxMmcPe4XGWxB9uRJgOxdw==">
              <w:r>
                <w:rPr>
                  <w:rFonts w:ascii="Lato"/>
                  <w:color w:val="0563C1" w:themeColor="hyperlink"/>
                  <w:u w:val="single"/>
                </w:rPr>
                <w:t>Sexual Harassment</w:t>
              </w:r>
            </w:hyperlink>
          </w:p>
        </w:tc>
      </w:tr>
      <w:tr w:rsidR="00456163">
        <w:tblPrEx>
          <w:tblCellMar>
            <w:top w:w="0" w:type="dxa"/>
            <w:bottom w:w="0" w:type="dxa"/>
          </w:tblCellMar>
        </w:tblPrEx>
        <w:tc>
          <w:tcPr>
            <w:tcW w:w="4017" w:type="dxa"/>
          </w:tcPr>
          <w:p w:rsidR="00456163" w:rsidRDefault="00000000">
            <w:pPr>
              <w:spacing w:after="0"/>
            </w:pPr>
            <w:r>
              <w:rPr>
                <w:rFonts w:ascii="Lato"/>
              </w:rPr>
              <w:t>4218</w:t>
            </w:r>
          </w:p>
        </w:tc>
        <w:tc>
          <w:tcPr>
            <w:tcW w:w="5961" w:type="dxa"/>
          </w:tcPr>
          <w:p w:rsidR="00456163" w:rsidRDefault="00000000">
            <w:hyperlink r:id="rId42" w:docLocation="https://simbli.eboardsolutions.com/Policy/ViewPolicy.aspx?S=36031525&amp;revid=DKY8plus2gljkZGq2yiaiZQlw==">
              <w:r>
                <w:rPr>
                  <w:rFonts w:ascii="Lato"/>
                  <w:color w:val="0563C1" w:themeColor="hyperlink"/>
                  <w:u w:val="single"/>
                </w:rPr>
                <w:t>Dismissal/Suspension/Disciplinary Action</w:t>
              </w:r>
            </w:hyperlink>
          </w:p>
        </w:tc>
      </w:tr>
      <w:tr w:rsidR="00456163">
        <w:tblPrEx>
          <w:tblCellMar>
            <w:top w:w="0" w:type="dxa"/>
            <w:bottom w:w="0" w:type="dxa"/>
          </w:tblCellMar>
        </w:tblPrEx>
        <w:tc>
          <w:tcPr>
            <w:tcW w:w="4017" w:type="dxa"/>
          </w:tcPr>
          <w:p w:rsidR="00456163" w:rsidRDefault="00000000">
            <w:pPr>
              <w:spacing w:after="0"/>
            </w:pPr>
            <w:r>
              <w:rPr>
                <w:rFonts w:ascii="Lato"/>
              </w:rPr>
              <w:t>5145.7</w:t>
            </w:r>
          </w:p>
        </w:tc>
        <w:tc>
          <w:tcPr>
            <w:tcW w:w="5961" w:type="dxa"/>
          </w:tcPr>
          <w:p w:rsidR="00456163" w:rsidRDefault="00000000">
            <w:hyperlink r:id="rId43" w:docLocation="https://simbli.eboardsolutions.com/Policy/ViewPolicy.aspx?S=36031525&amp;revid=u72slshVmuplus4nhENplusEce6nS7Q==">
              <w:r>
                <w:rPr>
                  <w:rFonts w:ascii="Lato"/>
                  <w:color w:val="0563C1" w:themeColor="hyperlink"/>
                  <w:u w:val="single"/>
                </w:rPr>
                <w:t>Sexual Harassment</w:t>
              </w:r>
            </w:hyperlink>
          </w:p>
        </w:tc>
      </w:tr>
      <w:tr w:rsidR="00456163">
        <w:tblPrEx>
          <w:tblCellMar>
            <w:top w:w="0" w:type="dxa"/>
            <w:bottom w:w="0" w:type="dxa"/>
          </w:tblCellMar>
        </w:tblPrEx>
        <w:tc>
          <w:tcPr>
            <w:tcW w:w="4017" w:type="dxa"/>
          </w:tcPr>
          <w:p w:rsidR="00456163" w:rsidRDefault="00000000">
            <w:pPr>
              <w:spacing w:after="0"/>
            </w:pPr>
            <w:r>
              <w:rPr>
                <w:rFonts w:ascii="Lato"/>
              </w:rPr>
              <w:t>5145.7</w:t>
            </w:r>
          </w:p>
        </w:tc>
        <w:tc>
          <w:tcPr>
            <w:tcW w:w="5961" w:type="dxa"/>
          </w:tcPr>
          <w:p w:rsidR="00456163" w:rsidRDefault="00000000">
            <w:hyperlink r:id="rId44" w:docLocation="https://simbli.eboardsolutions.com/Policy/ViewPolicy.aspx?S=36031525&amp;revid=xSmIRnX9dr80RRpgRWjCWA==">
              <w:r>
                <w:rPr>
                  <w:rFonts w:ascii="Lato"/>
                  <w:color w:val="0563C1" w:themeColor="hyperlink"/>
                  <w:u w:val="single"/>
                </w:rPr>
                <w:t>Sexual Harassment</w:t>
              </w:r>
            </w:hyperlink>
          </w:p>
        </w:tc>
      </w:tr>
      <w:tr w:rsidR="00456163">
        <w:tblPrEx>
          <w:tblCellMar>
            <w:top w:w="0" w:type="dxa"/>
            <w:bottom w:w="0" w:type="dxa"/>
          </w:tblCellMar>
        </w:tblPrEx>
        <w:tc>
          <w:tcPr>
            <w:tcW w:w="4017" w:type="dxa"/>
          </w:tcPr>
          <w:p w:rsidR="00456163" w:rsidRDefault="00000000">
            <w:pPr>
              <w:spacing w:after="0"/>
            </w:pPr>
            <w:r>
              <w:rPr>
                <w:rFonts w:ascii="Lato"/>
              </w:rPr>
              <w:t>5145.71</w:t>
            </w:r>
          </w:p>
        </w:tc>
        <w:tc>
          <w:tcPr>
            <w:tcW w:w="5961" w:type="dxa"/>
          </w:tcPr>
          <w:p w:rsidR="00456163" w:rsidRDefault="00000000">
            <w:hyperlink r:id="rId45" w:docLocation="https://simbli.eboardsolutions.com/Policy/ViewPolicy.aspx?S=36031525&amp;revid=YGCXVAYXHrZi4NslshypxGKrQ==">
              <w:r>
                <w:rPr>
                  <w:rFonts w:ascii="Lato"/>
                  <w:color w:val="0563C1" w:themeColor="hyperlink"/>
                  <w:u w:val="single"/>
                </w:rPr>
                <w:t>Title IX Sexual Harassment Complaint Procedures</w:t>
              </w:r>
            </w:hyperlink>
          </w:p>
        </w:tc>
      </w:tr>
    </w:tbl>
    <w:p w:rsidR="000E2AA7" w:rsidRDefault="000E2AA7"/>
    <w:sectPr w:rsidR="000E2AA7">
      <w:pgSz w:w="12240" w:h="15840"/>
      <w:pgMar w:top="617" w:right="1200" w:bottom="402"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52E"/>
    <w:multiLevelType w:val="multilevel"/>
    <w:tmpl w:val="1FD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4B04"/>
    <w:multiLevelType w:val="multilevel"/>
    <w:tmpl w:val="52F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055E6"/>
    <w:multiLevelType w:val="multilevel"/>
    <w:tmpl w:val="5286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21725"/>
    <w:multiLevelType w:val="multilevel"/>
    <w:tmpl w:val="43380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259D0"/>
    <w:multiLevelType w:val="multilevel"/>
    <w:tmpl w:val="A2C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E5629"/>
    <w:multiLevelType w:val="multilevel"/>
    <w:tmpl w:val="634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07906"/>
    <w:multiLevelType w:val="multilevel"/>
    <w:tmpl w:val="740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47B27"/>
    <w:multiLevelType w:val="multilevel"/>
    <w:tmpl w:val="C2FA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000630">
    <w:abstractNumId w:val="5"/>
  </w:num>
  <w:num w:numId="2" w16cid:durableId="481508261">
    <w:abstractNumId w:val="3"/>
  </w:num>
  <w:num w:numId="3" w16cid:durableId="901329621">
    <w:abstractNumId w:val="7"/>
  </w:num>
  <w:num w:numId="4" w16cid:durableId="1311521762">
    <w:abstractNumId w:val="4"/>
  </w:num>
  <w:num w:numId="5" w16cid:durableId="961114366">
    <w:abstractNumId w:val="1"/>
  </w:num>
  <w:num w:numId="6" w16cid:durableId="930234094">
    <w:abstractNumId w:val="2"/>
  </w:num>
  <w:num w:numId="7" w16cid:durableId="1026523013">
    <w:abstractNumId w:val="0"/>
  </w:num>
  <w:num w:numId="8" w16cid:durableId="1144128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3"/>
    <w:rsid w:val="000E2AA7"/>
    <w:rsid w:val="00456163"/>
    <w:rsid w:val="006C3A58"/>
    <w:rsid w:val="00D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BE0B0-50CE-4B6A-8C71-F2EA2C3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otnoteReference">
    <w:name w:val="footnote reference"/>
    <w:basedOn w:val="DefaultParagraphFon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5569">
      <w:bodyDiv w:val="1"/>
      <w:marLeft w:val="0"/>
      <w:marRight w:val="0"/>
      <w:marTop w:val="0"/>
      <w:marBottom w:val="0"/>
      <w:divBdr>
        <w:top w:val="none" w:sz="0" w:space="0" w:color="auto"/>
        <w:left w:val="none" w:sz="0" w:space="0" w:color="auto"/>
        <w:bottom w:val="none" w:sz="0" w:space="0" w:color="auto"/>
        <w:right w:val="none" w:sz="0" w:space="0" w:color="auto"/>
      </w:divBdr>
      <w:divsChild>
        <w:div w:id="1815633003">
          <w:marLeft w:val="0"/>
          <w:marRight w:val="0"/>
          <w:marTop w:val="0"/>
          <w:marBottom w:val="0"/>
          <w:divBdr>
            <w:top w:val="none" w:sz="0" w:space="0" w:color="auto"/>
            <w:left w:val="none" w:sz="0" w:space="0" w:color="auto"/>
            <w:bottom w:val="none" w:sz="0" w:space="0" w:color="auto"/>
            <w:right w:val="none" w:sz="0" w:space="0" w:color="auto"/>
          </w:divBdr>
          <w:divsChild>
            <w:div w:id="818158510">
              <w:marLeft w:val="0"/>
              <w:marRight w:val="0"/>
              <w:marTop w:val="0"/>
              <w:marBottom w:val="0"/>
              <w:divBdr>
                <w:top w:val="none" w:sz="0" w:space="0" w:color="auto"/>
                <w:left w:val="none" w:sz="0" w:space="0" w:color="auto"/>
                <w:bottom w:val="none" w:sz="0" w:space="0" w:color="auto"/>
                <w:right w:val="none" w:sz="0" w:space="0" w:color="auto"/>
              </w:divBdr>
              <w:divsChild>
                <w:div w:id="16581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81884">
      <w:bodyDiv w:val="1"/>
      <w:marLeft w:val="0"/>
      <w:marRight w:val="0"/>
      <w:marTop w:val="0"/>
      <w:marBottom w:val="0"/>
      <w:divBdr>
        <w:top w:val="none" w:sz="0" w:space="0" w:color="auto"/>
        <w:left w:val="none" w:sz="0" w:space="0" w:color="auto"/>
        <w:bottom w:val="none" w:sz="0" w:space="0" w:color="auto"/>
        <w:right w:val="none" w:sz="0" w:space="0" w:color="auto"/>
      </w:divBdr>
      <w:divsChild>
        <w:div w:id="1552616319">
          <w:marLeft w:val="0"/>
          <w:marRight w:val="0"/>
          <w:marTop w:val="0"/>
          <w:marBottom w:val="0"/>
          <w:divBdr>
            <w:top w:val="none" w:sz="0" w:space="0" w:color="auto"/>
            <w:left w:val="none" w:sz="0" w:space="0" w:color="auto"/>
            <w:bottom w:val="none" w:sz="0" w:space="0" w:color="auto"/>
            <w:right w:val="none" w:sz="0" w:space="0" w:color="auto"/>
          </w:divBdr>
          <w:divsChild>
            <w:div w:id="11275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951">
      <w:bodyDiv w:val="1"/>
      <w:marLeft w:val="0"/>
      <w:marRight w:val="0"/>
      <w:marTop w:val="0"/>
      <w:marBottom w:val="0"/>
      <w:divBdr>
        <w:top w:val="none" w:sz="0" w:space="0" w:color="auto"/>
        <w:left w:val="none" w:sz="0" w:space="0" w:color="auto"/>
        <w:bottom w:val="none" w:sz="0" w:space="0" w:color="auto"/>
        <w:right w:val="none" w:sz="0" w:space="0" w:color="auto"/>
      </w:divBdr>
      <w:divsChild>
        <w:div w:id="897285501">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req=(title:20%20section:1221%20edition:prelim)%20OR%20(granuleid:USC-prelim-title20-section1221)&amp;f=treesort&amp;edition=prelim&amp;num=0&amp;jumpTo=true" TargetMode="External"/><Relationship Id="rId18" Type="http://schemas.openxmlformats.org/officeDocument/2006/relationships/hyperlink" Target="https://uscode.house.gov/view.xhtml?req=(title:42%20section:1983%20edition:prelim)%20OR%20(granuleid:USC-prelim-title42-section1983)&amp;f=treesort&amp;edition=prelim&amp;num=0&amp;jumpTo=true" TargetMode="External"/><Relationship Id="rId26" Type="http://schemas.openxmlformats.org/officeDocument/2006/relationships/hyperlink" Target="https://www.federalregister.gov/documents/2020/05/19/2020-10512/nondiscrimination-on-the-basis-of-sex-in-education-programs-or-activities-receiving-federal" TargetMode="External"/><Relationship Id="rId39" Type="http://schemas.openxmlformats.org/officeDocument/2006/relationships/hyperlink" Target="https://simbli.eboardsolutions.com/Policy/ViewPolicy.aspx?S=36031525&amp;revid=EqZX9tN0pslshDYanA9XR8jng==" TargetMode="External"/><Relationship Id="rId21" Type="http://schemas.openxmlformats.org/officeDocument/2006/relationships/hyperlink" Target="https://law.justia.com/cases/" TargetMode="External"/><Relationship Id="rId34" Type="http://schemas.openxmlformats.org/officeDocument/2006/relationships/hyperlink" Target="https://simbli.eboardsolutions.com/Policy/ViewPolicy.aspx?S=36031525&amp;revid=plusTxlgZXT4cqHVwzrBgp84A==" TargetMode="External"/><Relationship Id="rId42" Type="http://schemas.openxmlformats.org/officeDocument/2006/relationships/hyperlink" Target="https://simbli.eboardsolutions.com/Policy/ViewPolicy.aspx?S=36031525&amp;revid=DKY8plus2gljkZGq2yiaiZQlw==" TargetMode="External"/><Relationship Id="rId47" Type="http://schemas.openxmlformats.org/officeDocument/2006/relationships/theme" Target="theme/theme1.xml"/><Relationship Id="rId7" Type="http://schemas.openxmlformats.org/officeDocument/2006/relationships/hyperlink" Target="http://leginfo.legislature.ca.gov/faces/codes_displayText.xhtml?division=1.&amp;chapter=2.&amp;part=1.&amp;lawCode=EDC&amp;title=1.&amp;article=1." TargetMode="External"/><Relationship Id="rId2" Type="http://schemas.openxmlformats.org/officeDocument/2006/relationships/styles" Target="styles.xml"/><Relationship Id="rId16" Type="http://schemas.openxmlformats.org/officeDocument/2006/relationships/hyperlink" Target="https://www.ecfr.gov/current/title-34/subtitle-A/part-99" TargetMode="External"/><Relationship Id="rId29" Type="http://schemas.openxmlformats.org/officeDocument/2006/relationships/hyperlink" Target="https://www.justice.gov/doj/federal-bureau-investigation" TargetMode="External"/><Relationship Id="rId1" Type="http://schemas.openxmlformats.org/officeDocument/2006/relationships/numbering" Target="numbering.xml"/><Relationship Id="rId6" Type="http://schemas.openxmlformats.org/officeDocument/2006/relationships/hyperlink" Target="http://leginfo.legislature.ca.gov/faces/codes_displaySection.xhtml?sectionNum=51.9.&amp;lawCode=CIV" TargetMode="External"/><Relationship Id="rId11" Type="http://schemas.openxmlformats.org/officeDocument/2006/relationships/hyperlink" Target="https://leginfo.legislature.ca.gov/faces/codes_displaySection.xhtml?lawCode=GOV&amp;sectionNum=12950.1." TargetMode="External"/><Relationship Id="rId24" Type="http://schemas.openxmlformats.org/officeDocument/2006/relationships/hyperlink" Target="https://www.lexisnexis.com/clients/CACourts/" TargetMode="External"/><Relationship Id="rId32" Type="http://schemas.openxmlformats.org/officeDocument/2006/relationships/hyperlink" Target="http://www.cde.ca.gov" TargetMode="External"/><Relationship Id="rId37" Type="http://schemas.openxmlformats.org/officeDocument/2006/relationships/hyperlink" Target="https://simbli.eboardsolutions.com/Policy/ViewPolicy.aspx?S=36031525&amp;revid=aDODQOXr7eUVG6pZKIdIag==" TargetMode="External"/><Relationship Id="rId40" Type="http://schemas.openxmlformats.org/officeDocument/2006/relationships/hyperlink" Target="https://simbli.eboardsolutions.com/Policy/ViewPolicy.aspx?S=36031525&amp;revid=Vkf2Snak0cgAplusmLxFNekeA==" TargetMode="External"/><Relationship Id="rId45" Type="http://schemas.openxmlformats.org/officeDocument/2006/relationships/hyperlink" Target="https://simbli.eboardsolutions.com/Policy/ViewPolicy.aspx?S=36031525&amp;revid=YGCXVAYXHrZi4NslshypxGKrQ==" TargetMode="External"/><Relationship Id="rId5" Type="http://schemas.openxmlformats.org/officeDocument/2006/relationships/hyperlink" Target="http://leginfo.legislature.ca.gov/faces/codes_displaySection.xhtml?sectionNum=1714.1.&amp;lawCode=CIV" TargetMode="External"/><Relationship Id="rId15" Type="http://schemas.openxmlformats.org/officeDocument/2006/relationships/hyperlink" Target="https://www.ecfr.gov/current/title-34/subtitle-B/chapter-I/part-106" TargetMode="External"/><Relationship Id="rId23" Type="http://schemas.openxmlformats.org/officeDocument/2006/relationships/hyperlink" Target="https://law.justia.com/cases/" TargetMode="External"/><Relationship Id="rId28" Type="http://schemas.openxmlformats.org/officeDocument/2006/relationships/hyperlink" Target="https://ucr.fbi.gov/nibrs/2018/resource-pages/nibrs_offense_definitions-2018.pdf" TargetMode="External"/><Relationship Id="rId36" Type="http://schemas.openxmlformats.org/officeDocument/2006/relationships/hyperlink" Target="https://simbli.eboardsolutions.com/Policy/ViewPolicy.aspx?S=36031525&amp;revid=0h1trvtzBPrCXWg1vgrmfA==" TargetMode="External"/><Relationship Id="rId10" Type="http://schemas.openxmlformats.org/officeDocument/2006/relationships/hyperlink" Target="https://leginfo.legislature.ca.gov/faces/codes_displaySection.xhtml?lawCode=EDC&amp;sectionNum=48985." TargetMode="External"/><Relationship Id="rId19" Type="http://schemas.openxmlformats.org/officeDocument/2006/relationships/hyperlink" Target="https://law.justia.com/cases/" TargetMode="External"/><Relationship Id="rId31" Type="http://schemas.openxmlformats.org/officeDocument/2006/relationships/hyperlink" Target="http://www.csba.org" TargetMode="External"/><Relationship Id="rId44" Type="http://schemas.openxmlformats.org/officeDocument/2006/relationships/hyperlink" Target="https://simbli.eboardsolutions.com/Policy/ViewPolicy.aspx?S=36031525&amp;revid=xSmIRnX9dr80RRpgRWjCWA==" TargetMode="External"/><Relationship Id="rId4" Type="http://schemas.openxmlformats.org/officeDocument/2006/relationships/webSettings" Target="webSettings.xml"/><Relationship Id="rId9" Type="http://schemas.openxmlformats.org/officeDocument/2006/relationships/hyperlink" Target="https://leginfo.legislature.ca.gov/faces/codes_displaySection.xhtml?lawCode=EDC&amp;sectionNum=48900.2." TargetMode="External"/><Relationship Id="rId14" Type="http://schemas.openxmlformats.org/officeDocument/2006/relationships/hyperlink" Target="https://uscode.house.gov/view.xhtml?req=(title:20%20section:1232g%20edition:prelim)%20OR%20(granuleid:USC-prelim-title20-section1232g)&amp;f=treesort&amp;edition=prelim&amp;num=0&amp;jumpTo=true" TargetMode="External"/><Relationship Id="rId22" Type="http://schemas.openxmlformats.org/officeDocument/2006/relationships/hyperlink" Target="https://law.justia.com/cases/" TargetMode="External"/><Relationship Id="rId27" Type="http://schemas.openxmlformats.org/officeDocument/2006/relationships/hyperlink" Target="https://www.ed.gov/media/document/title-ix-enforcement-directive-dcl-109477.pdf" TargetMode="External"/><Relationship Id="rId30" Type="http://schemas.openxmlformats.org/officeDocument/2006/relationships/hyperlink" Target="https://legalservices.csba.org/" TargetMode="External"/><Relationship Id="rId35" Type="http://schemas.openxmlformats.org/officeDocument/2006/relationships/hyperlink" Target="https://simbli.eboardsolutions.com/Policy/ViewPolicy.aspx?S=36031525&amp;revid=8z21TS2PQkcBmCE2TslshAwOw==" TargetMode="External"/><Relationship Id="rId43" Type="http://schemas.openxmlformats.org/officeDocument/2006/relationships/hyperlink" Target="https://simbli.eboardsolutions.com/Policy/ViewPolicy.aspx?S=36031525&amp;revid=u72slshVmuplus4nhENplusEce6nS7Q==" TargetMode="External"/><Relationship Id="rId8" Type="http://schemas.openxmlformats.org/officeDocument/2006/relationships/hyperlink" Target="https://leginfo.legislature.ca.gov/faces/codes_displaySection.xhtml?lawCode=EDC&amp;sectionNum=48900." TargetMode="External"/><Relationship Id="rId3" Type="http://schemas.openxmlformats.org/officeDocument/2006/relationships/settings" Target="settings.xml"/><Relationship Id="rId12" Type="http://schemas.openxmlformats.org/officeDocument/2006/relationships/hyperlink" Target="https://uscode.house.gov/view.xhtml?req=(title:20%20section:1092%20edition:prelim)%20OR%20(granuleid:USC-prelim-title20-section1092)&amp;f=treesort&amp;edition=prelim&amp;num=0&amp;jumpTo=true" TargetMode="External"/><Relationship Id="rId17" Type="http://schemas.openxmlformats.org/officeDocument/2006/relationships/hyperlink" Target="https://uscode.house.gov/view.xhtml?req=(title:34%20section:12291%20edition:prelim)%20OR%20(granuleid:USC-prelim-title34-section12291)&amp;f=treesort&amp;edition=prelim&amp;num=0&amp;jumpTo=true" TargetMode="External"/><Relationship Id="rId25" Type="http://schemas.openxmlformats.org/officeDocument/2006/relationships/hyperlink" Target="https://law.justia.com/cases/" TargetMode="External"/><Relationship Id="rId33" Type="http://schemas.openxmlformats.org/officeDocument/2006/relationships/hyperlink" Target="http://www2.ed.gov/ocr" TargetMode="External"/><Relationship Id="rId38" Type="http://schemas.openxmlformats.org/officeDocument/2006/relationships/hyperlink" Target="https://simbli.eboardsolutions.com/Policy/ViewPolicy.aspx?S=36031525&amp;revid=3sFLnxm80H5pPNFVH7Cplus4g==" TargetMode="External"/><Relationship Id="rId46" Type="http://schemas.openxmlformats.org/officeDocument/2006/relationships/fontTable" Target="fontTable.xml"/><Relationship Id="rId20" Type="http://schemas.openxmlformats.org/officeDocument/2006/relationships/hyperlink" Target="https://law.justia.com/cases/" TargetMode="External"/><Relationship Id="rId41" Type="http://schemas.openxmlformats.org/officeDocument/2006/relationships/hyperlink" Target="https://simbli.eboardsolutions.com/Policy/ViewPolicy.aspx?S=36031525&amp;revid=DxMmcPe4XGWxB9uRJgOx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4824</Words>
  <Characters>27503</Characters>
  <Application>Microsoft Office Word</Application>
  <DocSecurity>0</DocSecurity>
  <Lines>229</Lines>
  <Paragraphs>64</Paragraphs>
  <ScaleCrop>false</ScaleCrop>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Michele Goldberg</cp:lastModifiedBy>
  <cp:revision>2</cp:revision>
  <dcterms:created xsi:type="dcterms:W3CDTF">2025-09-12T15:58:00Z</dcterms:created>
  <dcterms:modified xsi:type="dcterms:W3CDTF">2025-09-12T15:58:00Z</dcterms:modified>
</cp:coreProperties>
</file>